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03CD" w14:textId="5E2539C5" w:rsidR="008809F3" w:rsidRDefault="009F0603">
      <w:pPr>
        <w:pStyle w:val="BodyText"/>
        <w:ind w:left="560"/>
        <w:rPr>
          <w:rFonts w:ascii="Times New Roman"/>
          <w:sz w:val="20"/>
        </w:rPr>
      </w:pPr>
      <w:r w:rsidRPr="00997E82">
        <w:rPr>
          <w:rFonts w:ascii="Times New Roman"/>
          <w:noProof/>
          <w:sz w:val="20"/>
        </w:rPr>
        <w:drawing>
          <wp:inline distT="0" distB="0" distL="0" distR="0" wp14:anchorId="2330D78E" wp14:editId="773F9ADE">
            <wp:extent cx="1362075" cy="10953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095375"/>
                    </a:xfrm>
                    <a:prstGeom prst="rect">
                      <a:avLst/>
                    </a:prstGeom>
                    <a:noFill/>
                    <a:ln>
                      <a:noFill/>
                    </a:ln>
                  </pic:spPr>
                </pic:pic>
              </a:graphicData>
            </a:graphic>
          </wp:inline>
        </w:drawing>
      </w:r>
    </w:p>
    <w:p w14:paraId="46C08CB0" w14:textId="77777777" w:rsidR="008809F3" w:rsidRDefault="008809F3">
      <w:pPr>
        <w:pStyle w:val="BodyText"/>
        <w:rPr>
          <w:rFonts w:ascii="Times New Roman"/>
          <w:sz w:val="20"/>
        </w:rPr>
      </w:pPr>
    </w:p>
    <w:p w14:paraId="63E22523" w14:textId="77777777" w:rsidR="008809F3" w:rsidRDefault="008809F3">
      <w:pPr>
        <w:pStyle w:val="BodyText"/>
        <w:rPr>
          <w:rFonts w:ascii="Times New Roman"/>
          <w:sz w:val="20"/>
        </w:rPr>
      </w:pPr>
    </w:p>
    <w:p w14:paraId="75B78A73" w14:textId="77777777" w:rsidR="008809F3" w:rsidRDefault="008809F3">
      <w:pPr>
        <w:pStyle w:val="BodyText"/>
        <w:rPr>
          <w:rFonts w:ascii="Times New Roman"/>
          <w:sz w:val="20"/>
        </w:rPr>
      </w:pPr>
    </w:p>
    <w:p w14:paraId="1D475CB5" w14:textId="77777777" w:rsidR="008809F3" w:rsidRDefault="008809F3">
      <w:pPr>
        <w:pStyle w:val="BodyText"/>
        <w:rPr>
          <w:rFonts w:ascii="Times New Roman"/>
          <w:sz w:val="20"/>
        </w:rPr>
      </w:pPr>
    </w:p>
    <w:p w14:paraId="55BC5A34" w14:textId="77777777" w:rsidR="008809F3" w:rsidRDefault="008809F3">
      <w:pPr>
        <w:pStyle w:val="BodyText"/>
        <w:rPr>
          <w:rFonts w:ascii="Times New Roman"/>
          <w:sz w:val="20"/>
        </w:rPr>
      </w:pPr>
    </w:p>
    <w:p w14:paraId="35DD5D8D" w14:textId="77777777" w:rsidR="008809F3" w:rsidRDefault="008809F3">
      <w:pPr>
        <w:pStyle w:val="BodyText"/>
        <w:rPr>
          <w:rFonts w:ascii="Times New Roman"/>
          <w:sz w:val="20"/>
        </w:rPr>
      </w:pPr>
    </w:p>
    <w:p w14:paraId="085AA9D7" w14:textId="77777777" w:rsidR="008809F3" w:rsidRDefault="008809F3">
      <w:pPr>
        <w:pStyle w:val="BodyText"/>
        <w:rPr>
          <w:rFonts w:ascii="Times New Roman"/>
          <w:sz w:val="20"/>
        </w:rPr>
      </w:pPr>
    </w:p>
    <w:p w14:paraId="193258C0" w14:textId="77777777" w:rsidR="008809F3" w:rsidRDefault="008809F3">
      <w:pPr>
        <w:pStyle w:val="BodyText"/>
        <w:rPr>
          <w:rFonts w:ascii="Times New Roman"/>
          <w:sz w:val="20"/>
        </w:rPr>
      </w:pPr>
    </w:p>
    <w:p w14:paraId="3B8387B4" w14:textId="77777777" w:rsidR="008809F3" w:rsidRDefault="008809F3">
      <w:pPr>
        <w:pStyle w:val="BodyText"/>
        <w:rPr>
          <w:rFonts w:ascii="Times New Roman"/>
          <w:sz w:val="20"/>
        </w:rPr>
      </w:pPr>
    </w:p>
    <w:p w14:paraId="3FF9E8F2" w14:textId="77777777" w:rsidR="008809F3" w:rsidRDefault="008809F3">
      <w:pPr>
        <w:pStyle w:val="BodyText"/>
        <w:rPr>
          <w:rFonts w:ascii="Times New Roman"/>
          <w:sz w:val="20"/>
        </w:rPr>
      </w:pPr>
    </w:p>
    <w:p w14:paraId="716A5C9C" w14:textId="77777777" w:rsidR="008809F3" w:rsidRDefault="008809F3">
      <w:pPr>
        <w:pStyle w:val="BodyText"/>
        <w:rPr>
          <w:rFonts w:ascii="Times New Roman"/>
          <w:sz w:val="20"/>
        </w:rPr>
      </w:pPr>
    </w:p>
    <w:p w14:paraId="186FBE91" w14:textId="77777777" w:rsidR="008809F3" w:rsidRDefault="008809F3">
      <w:pPr>
        <w:pStyle w:val="BodyText"/>
        <w:rPr>
          <w:rFonts w:ascii="Times New Roman"/>
          <w:sz w:val="20"/>
        </w:rPr>
      </w:pPr>
    </w:p>
    <w:p w14:paraId="11EE77C0" w14:textId="77777777" w:rsidR="008809F3" w:rsidRDefault="008809F3">
      <w:pPr>
        <w:pStyle w:val="BodyText"/>
        <w:rPr>
          <w:rFonts w:ascii="Times New Roman"/>
          <w:sz w:val="20"/>
        </w:rPr>
      </w:pPr>
    </w:p>
    <w:p w14:paraId="0474C7A3" w14:textId="77777777" w:rsidR="008809F3" w:rsidRDefault="008809F3">
      <w:pPr>
        <w:pStyle w:val="BodyText"/>
        <w:rPr>
          <w:rFonts w:ascii="Times New Roman"/>
          <w:sz w:val="20"/>
        </w:rPr>
      </w:pPr>
    </w:p>
    <w:p w14:paraId="0F1B6540" w14:textId="77777777" w:rsidR="008809F3" w:rsidRDefault="008809F3">
      <w:pPr>
        <w:pStyle w:val="BodyText"/>
        <w:rPr>
          <w:rFonts w:ascii="Times New Roman"/>
          <w:sz w:val="20"/>
        </w:rPr>
      </w:pPr>
    </w:p>
    <w:p w14:paraId="29080219" w14:textId="77777777" w:rsidR="008809F3" w:rsidRDefault="008809F3">
      <w:pPr>
        <w:pStyle w:val="BodyText"/>
        <w:rPr>
          <w:rFonts w:ascii="Times New Roman"/>
          <w:sz w:val="20"/>
        </w:rPr>
      </w:pPr>
    </w:p>
    <w:p w14:paraId="33453540" w14:textId="77777777" w:rsidR="008809F3" w:rsidRDefault="008809F3">
      <w:pPr>
        <w:pStyle w:val="BodyText"/>
        <w:rPr>
          <w:rFonts w:ascii="Times New Roman"/>
          <w:sz w:val="20"/>
        </w:rPr>
      </w:pPr>
    </w:p>
    <w:p w14:paraId="0118ACA0" w14:textId="77777777" w:rsidR="008809F3" w:rsidRDefault="008809F3">
      <w:pPr>
        <w:pStyle w:val="BodyText"/>
        <w:rPr>
          <w:rFonts w:ascii="Times New Roman"/>
          <w:sz w:val="20"/>
        </w:rPr>
      </w:pPr>
    </w:p>
    <w:p w14:paraId="2AA31778" w14:textId="77777777" w:rsidR="008809F3" w:rsidRDefault="008809F3">
      <w:pPr>
        <w:pStyle w:val="BodyText"/>
        <w:rPr>
          <w:rFonts w:ascii="Times New Roman"/>
          <w:sz w:val="20"/>
        </w:rPr>
      </w:pPr>
    </w:p>
    <w:p w14:paraId="4DC829EA" w14:textId="77777777" w:rsidR="008809F3" w:rsidRDefault="008809F3">
      <w:pPr>
        <w:pStyle w:val="BodyText"/>
        <w:spacing w:before="1"/>
        <w:rPr>
          <w:rFonts w:ascii="Times New Roman"/>
          <w:sz w:val="18"/>
        </w:rPr>
      </w:pPr>
    </w:p>
    <w:p w14:paraId="12FCDAC1" w14:textId="77777777" w:rsidR="008809F3" w:rsidRPr="00B7209F" w:rsidRDefault="000E0F0C" w:rsidP="00B7209F">
      <w:pPr>
        <w:spacing w:before="360" w:after="240"/>
        <w:jc w:val="right"/>
        <w:rPr>
          <w:rFonts w:ascii="HelveticaNeueLT Std Med Cn" w:hAnsi="HelveticaNeueLT Std Med Cn"/>
          <w:sz w:val="76"/>
          <w:szCs w:val="76"/>
        </w:rPr>
      </w:pPr>
      <w:bookmarkStart w:id="0" w:name="1_Supt_Eval_cover_page"/>
      <w:bookmarkEnd w:id="0"/>
      <w:r w:rsidRPr="00B7209F">
        <w:rPr>
          <w:rFonts w:ascii="HelveticaNeueLT Std Med Cn" w:hAnsi="HelveticaNeueLT Std Med Cn"/>
          <w:color w:val="DC6B27"/>
          <w:w w:val="85"/>
          <w:sz w:val="76"/>
          <w:szCs w:val="76"/>
        </w:rPr>
        <w:t>Superintendent Evaluation</w:t>
      </w:r>
      <w:r w:rsidR="00B7209F" w:rsidRPr="00B7209F">
        <w:rPr>
          <w:rFonts w:ascii="HelveticaNeueLT Std Med Cn" w:hAnsi="HelveticaNeueLT Std Med Cn"/>
          <w:color w:val="DC6B27"/>
          <w:w w:val="85"/>
          <w:sz w:val="76"/>
          <w:szCs w:val="76"/>
        </w:rPr>
        <w:t xml:space="preserve"> Form</w:t>
      </w:r>
    </w:p>
    <w:p w14:paraId="0960C6BA" w14:textId="6433ED77" w:rsidR="008809F3" w:rsidRPr="00B7209F" w:rsidRDefault="000E0F0C" w:rsidP="00B7209F">
      <w:pPr>
        <w:spacing w:before="400"/>
        <w:jc w:val="right"/>
        <w:rPr>
          <w:rFonts w:ascii="HelveticaNeueLT Std Med Cn" w:hAnsi="HelveticaNeueLT Std Med Cn"/>
          <w:sz w:val="32"/>
          <w:szCs w:val="32"/>
        </w:rPr>
      </w:pPr>
      <w:bookmarkStart w:id="1" w:name="Based_on_IASB_and_SAI’s_Superintendent_L"/>
      <w:bookmarkEnd w:id="1"/>
      <w:r w:rsidRPr="00B7209F">
        <w:rPr>
          <w:rFonts w:ascii="HelveticaNeueLT Std Med Cn" w:hAnsi="HelveticaNeueLT Std Med Cn"/>
          <w:color w:val="005293"/>
          <w:w w:val="85"/>
          <w:sz w:val="32"/>
          <w:szCs w:val="32"/>
        </w:rPr>
        <w:t>Based on IASB and SAI’s Superintendent Leadership Performance Review</w:t>
      </w:r>
      <w:r w:rsidRPr="00B7209F">
        <w:rPr>
          <w:rFonts w:ascii="HelveticaNeueLT Std Med Cn" w:hAnsi="HelveticaNeueLT Std Med Cn"/>
          <w:color w:val="005293"/>
          <w:spacing w:val="2"/>
          <w:w w:val="85"/>
          <w:sz w:val="32"/>
          <w:szCs w:val="32"/>
        </w:rPr>
        <w:t xml:space="preserve"> </w:t>
      </w:r>
      <w:r w:rsidR="00CF3499">
        <w:rPr>
          <w:rFonts w:ascii="HelveticaNeueLT Std Med Cn" w:hAnsi="HelveticaNeueLT Std Med Cn"/>
          <w:color w:val="005293"/>
          <w:w w:val="85"/>
          <w:sz w:val="32"/>
          <w:szCs w:val="32"/>
        </w:rPr>
        <w:t>D</w:t>
      </w:r>
      <w:r w:rsidRPr="00B7209F">
        <w:rPr>
          <w:rFonts w:ascii="HelveticaNeueLT Std Med Cn" w:hAnsi="HelveticaNeueLT Std Med Cn"/>
          <w:color w:val="005293"/>
          <w:w w:val="85"/>
          <w:sz w:val="32"/>
          <w:szCs w:val="32"/>
        </w:rPr>
        <w:t>ocument</w:t>
      </w:r>
    </w:p>
    <w:p w14:paraId="60B49247" w14:textId="77777777" w:rsidR="008809F3" w:rsidRDefault="008809F3">
      <w:pPr>
        <w:pStyle w:val="BodyText"/>
        <w:rPr>
          <w:rFonts w:ascii="Arial"/>
          <w:sz w:val="20"/>
        </w:rPr>
      </w:pPr>
    </w:p>
    <w:p w14:paraId="0A5C9D4A" w14:textId="77777777" w:rsidR="008809F3" w:rsidRDefault="008809F3">
      <w:pPr>
        <w:pStyle w:val="BodyText"/>
        <w:rPr>
          <w:rFonts w:ascii="Arial"/>
          <w:sz w:val="20"/>
        </w:rPr>
      </w:pPr>
    </w:p>
    <w:p w14:paraId="1E0ADE27" w14:textId="77777777" w:rsidR="008809F3" w:rsidRDefault="008809F3">
      <w:pPr>
        <w:pStyle w:val="BodyText"/>
        <w:rPr>
          <w:rFonts w:ascii="Arial"/>
          <w:sz w:val="20"/>
        </w:rPr>
      </w:pPr>
    </w:p>
    <w:p w14:paraId="21F92F79" w14:textId="77777777" w:rsidR="008809F3" w:rsidRDefault="008809F3">
      <w:pPr>
        <w:pStyle w:val="BodyText"/>
        <w:rPr>
          <w:rFonts w:ascii="Arial"/>
          <w:sz w:val="20"/>
        </w:rPr>
      </w:pPr>
    </w:p>
    <w:p w14:paraId="6F9EFC5C" w14:textId="77777777" w:rsidR="008809F3" w:rsidRDefault="008809F3">
      <w:pPr>
        <w:pStyle w:val="BodyText"/>
        <w:rPr>
          <w:rFonts w:ascii="Arial"/>
          <w:sz w:val="20"/>
        </w:rPr>
      </w:pPr>
    </w:p>
    <w:p w14:paraId="41445998" w14:textId="77777777" w:rsidR="008809F3" w:rsidRDefault="008809F3">
      <w:pPr>
        <w:pStyle w:val="BodyText"/>
        <w:rPr>
          <w:rFonts w:ascii="Arial"/>
          <w:sz w:val="20"/>
        </w:rPr>
      </w:pPr>
    </w:p>
    <w:p w14:paraId="762E05F1" w14:textId="77777777" w:rsidR="008809F3" w:rsidRDefault="008809F3">
      <w:pPr>
        <w:pStyle w:val="BodyText"/>
        <w:rPr>
          <w:rFonts w:ascii="Arial"/>
          <w:sz w:val="20"/>
        </w:rPr>
      </w:pPr>
    </w:p>
    <w:p w14:paraId="5EA6D3B4" w14:textId="77777777" w:rsidR="008809F3" w:rsidRDefault="008809F3">
      <w:pPr>
        <w:pStyle w:val="BodyText"/>
        <w:rPr>
          <w:rFonts w:ascii="Arial"/>
          <w:sz w:val="20"/>
        </w:rPr>
      </w:pPr>
    </w:p>
    <w:p w14:paraId="4114829F" w14:textId="77777777" w:rsidR="008809F3" w:rsidRDefault="008809F3">
      <w:pPr>
        <w:pStyle w:val="BodyText"/>
        <w:rPr>
          <w:rFonts w:ascii="Arial"/>
          <w:sz w:val="20"/>
        </w:rPr>
      </w:pPr>
    </w:p>
    <w:p w14:paraId="4AE3EC9F" w14:textId="77777777" w:rsidR="008809F3" w:rsidRDefault="008809F3">
      <w:pPr>
        <w:pStyle w:val="BodyText"/>
        <w:rPr>
          <w:rFonts w:ascii="Arial"/>
          <w:sz w:val="20"/>
        </w:rPr>
      </w:pPr>
    </w:p>
    <w:p w14:paraId="24F967F4" w14:textId="77777777" w:rsidR="008809F3" w:rsidRDefault="008809F3">
      <w:pPr>
        <w:pStyle w:val="BodyText"/>
        <w:rPr>
          <w:rFonts w:ascii="Arial"/>
          <w:sz w:val="20"/>
        </w:rPr>
      </w:pPr>
    </w:p>
    <w:p w14:paraId="0F15CD77" w14:textId="77777777" w:rsidR="008809F3" w:rsidRDefault="008809F3">
      <w:pPr>
        <w:pStyle w:val="BodyText"/>
        <w:rPr>
          <w:rFonts w:ascii="Arial"/>
          <w:sz w:val="20"/>
        </w:rPr>
      </w:pPr>
    </w:p>
    <w:p w14:paraId="52780F31" w14:textId="77777777" w:rsidR="008809F3" w:rsidRDefault="008809F3">
      <w:pPr>
        <w:pStyle w:val="BodyText"/>
        <w:rPr>
          <w:rFonts w:ascii="Arial"/>
          <w:sz w:val="20"/>
        </w:rPr>
      </w:pPr>
    </w:p>
    <w:p w14:paraId="62EBB725" w14:textId="77777777" w:rsidR="008809F3" w:rsidRDefault="008809F3">
      <w:pPr>
        <w:pStyle w:val="BodyText"/>
        <w:rPr>
          <w:rFonts w:ascii="Arial"/>
          <w:sz w:val="20"/>
        </w:rPr>
      </w:pPr>
    </w:p>
    <w:p w14:paraId="07DDF94F" w14:textId="77777777" w:rsidR="008809F3" w:rsidRDefault="008809F3">
      <w:pPr>
        <w:pStyle w:val="BodyText"/>
        <w:rPr>
          <w:rFonts w:ascii="Arial"/>
          <w:sz w:val="20"/>
        </w:rPr>
      </w:pPr>
    </w:p>
    <w:p w14:paraId="69B210A2" w14:textId="77777777" w:rsidR="008809F3" w:rsidRDefault="008809F3">
      <w:pPr>
        <w:pStyle w:val="BodyText"/>
        <w:rPr>
          <w:rFonts w:ascii="Arial"/>
          <w:sz w:val="20"/>
        </w:rPr>
      </w:pPr>
    </w:p>
    <w:p w14:paraId="6F34F4E2" w14:textId="77777777" w:rsidR="008809F3" w:rsidRDefault="008809F3">
      <w:pPr>
        <w:pStyle w:val="BodyText"/>
        <w:rPr>
          <w:rFonts w:ascii="Arial"/>
          <w:sz w:val="20"/>
        </w:rPr>
      </w:pPr>
    </w:p>
    <w:p w14:paraId="5DA380BB" w14:textId="77777777" w:rsidR="008809F3" w:rsidRDefault="008809F3">
      <w:pPr>
        <w:pStyle w:val="BodyText"/>
        <w:rPr>
          <w:rFonts w:ascii="Arial"/>
          <w:sz w:val="20"/>
        </w:rPr>
      </w:pPr>
    </w:p>
    <w:p w14:paraId="648E5EDF" w14:textId="77777777" w:rsidR="008809F3" w:rsidRDefault="008809F3">
      <w:pPr>
        <w:pStyle w:val="BodyText"/>
        <w:rPr>
          <w:rFonts w:ascii="Arial"/>
          <w:sz w:val="20"/>
        </w:rPr>
      </w:pPr>
    </w:p>
    <w:p w14:paraId="44DA8227" w14:textId="77777777" w:rsidR="008809F3" w:rsidRDefault="008809F3">
      <w:pPr>
        <w:pStyle w:val="BodyText"/>
        <w:rPr>
          <w:rFonts w:ascii="Arial"/>
          <w:sz w:val="20"/>
        </w:rPr>
      </w:pPr>
    </w:p>
    <w:p w14:paraId="0DBFF6A6" w14:textId="77777777" w:rsidR="00A63B57" w:rsidRDefault="00A63B57">
      <w:pPr>
        <w:pStyle w:val="Heading1"/>
        <w:spacing w:before="104"/>
        <w:rPr>
          <w:rFonts w:ascii="HelveticaNeueLT Std Med Cn" w:hAnsi="HelveticaNeueLT Std Med Cn"/>
          <w:color w:val="005293"/>
          <w:w w:val="95"/>
        </w:rPr>
      </w:pPr>
    </w:p>
    <w:p w14:paraId="18660809" w14:textId="77777777" w:rsidR="00A63B57" w:rsidRDefault="00A63B57">
      <w:pPr>
        <w:pStyle w:val="Heading1"/>
        <w:spacing w:before="104"/>
        <w:rPr>
          <w:rFonts w:ascii="HelveticaNeueLT Std Med Cn" w:hAnsi="HelveticaNeueLT Std Med Cn"/>
          <w:color w:val="005293"/>
          <w:w w:val="95"/>
        </w:rPr>
      </w:pPr>
    </w:p>
    <w:p w14:paraId="1D4F10EC" w14:textId="77777777" w:rsidR="008809F3" w:rsidRPr="00B7209F" w:rsidRDefault="000E0F0C">
      <w:pPr>
        <w:pStyle w:val="Heading1"/>
        <w:spacing w:before="104"/>
        <w:rPr>
          <w:rFonts w:ascii="HelveticaNeueLT Std Med Cn" w:hAnsi="HelveticaNeueLT Std Med Cn"/>
        </w:rPr>
      </w:pPr>
      <w:r w:rsidRPr="00B7209F">
        <w:rPr>
          <w:rFonts w:ascii="HelveticaNeueLT Std Med Cn" w:hAnsi="HelveticaNeueLT Std Med Cn"/>
          <w:color w:val="005293"/>
          <w:w w:val="95"/>
        </w:rPr>
        <w:t>Vision &amp; Voice for Public Education</w:t>
      </w:r>
    </w:p>
    <w:p w14:paraId="7D48E46E" w14:textId="77777777" w:rsidR="008809F3" w:rsidRDefault="008809F3">
      <w:pPr>
        <w:sectPr w:rsidR="008809F3" w:rsidSect="00A63B57">
          <w:footerReference w:type="default" r:id="rId8"/>
          <w:type w:val="continuous"/>
          <w:pgSz w:w="12240" w:h="15840"/>
          <w:pgMar w:top="720" w:right="520" w:bottom="280" w:left="520" w:header="720" w:footer="720" w:gutter="0"/>
          <w:pgNumType w:start="0"/>
          <w:cols w:space="720"/>
          <w:titlePg/>
          <w:docGrid w:linePitch="299"/>
        </w:sectPr>
      </w:pPr>
    </w:p>
    <w:p w14:paraId="707040BA" w14:textId="77777777" w:rsidR="008809F3" w:rsidRPr="00B7209F" w:rsidRDefault="000E0F0C">
      <w:pPr>
        <w:spacing w:before="87"/>
        <w:ind w:left="560"/>
        <w:rPr>
          <w:rFonts w:ascii="HelveticaNeueLT Std Med Cn" w:hAnsi="HelveticaNeueLT Std Med Cn"/>
          <w:sz w:val="48"/>
        </w:rPr>
      </w:pPr>
      <w:r w:rsidRPr="00B7209F">
        <w:rPr>
          <w:rFonts w:ascii="HelveticaNeueLT Std Med Cn" w:hAnsi="HelveticaNeueLT Std Med Cn"/>
          <w:color w:val="DC6B27"/>
          <w:w w:val="95"/>
          <w:sz w:val="48"/>
        </w:rPr>
        <w:lastRenderedPageBreak/>
        <w:t>Superintendent Evaluation</w:t>
      </w:r>
      <w:r w:rsidRPr="00B7209F">
        <w:rPr>
          <w:rFonts w:ascii="HelveticaNeueLT Std Med Cn" w:hAnsi="HelveticaNeueLT Std Med Cn"/>
          <w:color w:val="DC6B27"/>
          <w:spacing w:val="-53"/>
          <w:w w:val="95"/>
          <w:sz w:val="48"/>
        </w:rPr>
        <w:t xml:space="preserve"> </w:t>
      </w:r>
      <w:r w:rsidRPr="00B7209F">
        <w:rPr>
          <w:rFonts w:ascii="HelveticaNeueLT Std Med Cn" w:hAnsi="HelveticaNeueLT Std Med Cn"/>
          <w:color w:val="DC6B27"/>
          <w:w w:val="95"/>
          <w:sz w:val="48"/>
        </w:rPr>
        <w:t>Form</w:t>
      </w:r>
    </w:p>
    <w:p w14:paraId="1D7007A6" w14:textId="77777777" w:rsidR="008809F3" w:rsidRPr="00B7209F" w:rsidRDefault="000E0F0C">
      <w:pPr>
        <w:pStyle w:val="Heading1"/>
        <w:spacing w:before="404"/>
        <w:rPr>
          <w:rFonts w:ascii="HelveticaNeueLT Std Med Cn" w:hAnsi="HelveticaNeueLT Std Med Cn"/>
        </w:rPr>
      </w:pPr>
      <w:bookmarkStart w:id="2" w:name="Introduction"/>
      <w:bookmarkEnd w:id="2"/>
      <w:r w:rsidRPr="00B7209F">
        <w:rPr>
          <w:rFonts w:ascii="HelveticaNeueLT Std Med Cn" w:hAnsi="HelveticaNeueLT Std Med Cn"/>
          <w:color w:val="005293"/>
        </w:rPr>
        <w:t>Introduction</w:t>
      </w:r>
    </w:p>
    <w:p w14:paraId="6DE22A51" w14:textId="77777777" w:rsidR="008809F3" w:rsidRDefault="000E0F0C">
      <w:pPr>
        <w:pStyle w:val="BodyText"/>
        <w:spacing w:before="183" w:line="276" w:lineRule="auto"/>
        <w:ind w:left="560" w:right="649"/>
      </w:pPr>
      <w:r>
        <w:t>The Iowa code requires an annual evaluation of the superintendent based on competence in meeting the Iowa Standards for School Leaders (ISSL) and performance and progress on the superintendent’s goals established by the board-superintendent team.</w:t>
      </w:r>
    </w:p>
    <w:p w14:paraId="187E5C6A" w14:textId="64A7F630" w:rsidR="008809F3" w:rsidRDefault="000E0F0C">
      <w:pPr>
        <w:pStyle w:val="BodyText"/>
        <w:spacing w:before="180" w:line="276" w:lineRule="auto"/>
        <w:ind w:left="559" w:right="617"/>
      </w:pPr>
      <w:r>
        <w:t xml:space="preserve">This form serves as a resource for board-superintendent teams to conduct a meaningful and effective superintendent evaluation process using the 10 Iowa Standards for School Leaders (ISSL) that </w:t>
      </w:r>
      <w:r w:rsidR="005D1508">
        <w:t>went</w:t>
      </w:r>
      <w:r>
        <w:t xml:space="preserve"> into effect on July 1, 2021. It is a simplified, adapted version of the comprehensive </w:t>
      </w:r>
      <w:hyperlink r:id="rId9">
        <w:r>
          <w:rPr>
            <w:color w:val="005293"/>
            <w:u w:val="single" w:color="005293"/>
          </w:rPr>
          <w:t>Superintendent</w:t>
        </w:r>
      </w:hyperlink>
      <w:r>
        <w:rPr>
          <w:color w:val="005293"/>
        </w:rPr>
        <w:t xml:space="preserve"> </w:t>
      </w:r>
      <w:hyperlink r:id="rId10">
        <w:r>
          <w:rPr>
            <w:color w:val="005293"/>
            <w:u w:val="single" w:color="005293"/>
          </w:rPr>
          <w:t>Leadership Performance Review</w:t>
        </w:r>
        <w:r>
          <w:rPr>
            <w:color w:val="005293"/>
          </w:rPr>
          <w:t xml:space="preserve"> </w:t>
        </w:r>
      </w:hyperlink>
      <w:r>
        <w:t>document.</w:t>
      </w:r>
    </w:p>
    <w:p w14:paraId="42AC1311" w14:textId="77777777" w:rsidR="008809F3" w:rsidRDefault="000E0F0C">
      <w:pPr>
        <w:pStyle w:val="BodyText"/>
        <w:spacing w:before="180"/>
        <w:ind w:left="560"/>
      </w:pPr>
      <w:r>
        <w:t>An effective process to address the growth and development of a superintendent is:</w:t>
      </w:r>
    </w:p>
    <w:p w14:paraId="5E6454BB" w14:textId="77777777" w:rsidR="008809F3" w:rsidRDefault="000E0F0C">
      <w:pPr>
        <w:pStyle w:val="ListParagraph"/>
        <w:numPr>
          <w:ilvl w:val="0"/>
          <w:numId w:val="1"/>
        </w:numPr>
        <w:tabs>
          <w:tab w:val="left" w:pos="1279"/>
          <w:tab w:val="left" w:pos="1281"/>
        </w:tabs>
        <w:spacing w:before="219" w:line="276" w:lineRule="auto"/>
        <w:ind w:right="693"/>
      </w:pPr>
      <w:r>
        <w:t>A critical component in the entire improvement effort of a school district. It defines expectations, enhances communication, prioritizes district and building goals and</w:t>
      </w:r>
      <w:r>
        <w:rPr>
          <w:spacing w:val="-42"/>
        </w:rPr>
        <w:t xml:space="preserve"> </w:t>
      </w:r>
      <w:r>
        <w:t>encourages the school board to focus their attention on the leader’s role in improving achievement and well-being for every</w:t>
      </w:r>
      <w:r>
        <w:rPr>
          <w:spacing w:val="-1"/>
        </w:rPr>
        <w:t xml:space="preserve"> </w:t>
      </w:r>
      <w:r>
        <w:t>student.</w:t>
      </w:r>
    </w:p>
    <w:p w14:paraId="4A1376CE" w14:textId="77777777" w:rsidR="008809F3" w:rsidRDefault="000E0F0C">
      <w:pPr>
        <w:pStyle w:val="ListParagraph"/>
        <w:numPr>
          <w:ilvl w:val="0"/>
          <w:numId w:val="1"/>
        </w:numPr>
        <w:tabs>
          <w:tab w:val="left" w:pos="1279"/>
          <w:tab w:val="left" w:pos="1281"/>
        </w:tabs>
        <w:spacing w:before="176" w:line="273" w:lineRule="auto"/>
        <w:ind w:right="871"/>
      </w:pPr>
      <w:r>
        <w:t>Based on a presumption of positive intent focused on providing feedback for growth, as opposed to finding evidence of shortcomings. If a school board is considering evaluation for the purposes of termination, other processes should be</w:t>
      </w:r>
      <w:r>
        <w:rPr>
          <w:spacing w:val="-8"/>
        </w:rPr>
        <w:t xml:space="preserve"> </w:t>
      </w:r>
      <w:r>
        <w:t>employed.</w:t>
      </w:r>
    </w:p>
    <w:p w14:paraId="67C193C0" w14:textId="77777777" w:rsidR="008809F3" w:rsidRDefault="000E0F0C">
      <w:pPr>
        <w:pStyle w:val="ListParagraph"/>
        <w:numPr>
          <w:ilvl w:val="0"/>
          <w:numId w:val="1"/>
        </w:numPr>
        <w:tabs>
          <w:tab w:val="left" w:pos="1279"/>
          <w:tab w:val="left" w:pos="1281"/>
        </w:tabs>
        <w:spacing w:before="185" w:line="273" w:lineRule="auto"/>
        <w:ind w:right="642"/>
      </w:pPr>
      <w:r>
        <w:t>A year-long process that includes time for the superintendent to update the board on progress toward reaching established goals and time for the board to provide feedback on a regular basis—in addition to the year-end summative</w:t>
      </w:r>
      <w:r>
        <w:rPr>
          <w:spacing w:val="-6"/>
        </w:rPr>
        <w:t xml:space="preserve"> </w:t>
      </w:r>
      <w:r>
        <w:t>evaluation.</w:t>
      </w:r>
    </w:p>
    <w:p w14:paraId="084E2191" w14:textId="165834E3" w:rsidR="008809F3" w:rsidRDefault="000E0F0C">
      <w:pPr>
        <w:pStyle w:val="BodyText"/>
        <w:spacing w:before="185" w:line="276" w:lineRule="auto"/>
        <w:ind w:left="560" w:right="564"/>
      </w:pPr>
      <w:r>
        <w:t xml:space="preserve">IASB encourages the whole board team to participate in the end of the year superintendent evaluation conference. This provides all board members the opportunity for firsthand awareness of the information communicated between the board and superintendent regarding the superintendent’s performance. There are a variety of ways the conference can be structured. One of the most import parts of the process is ensuring every board member’s voice is heard. Every board is unique, and you will need to guide what works best for your board. For more information on effective practices, see the IASB resource </w:t>
      </w:r>
      <w:hyperlink r:id="rId11">
        <w:r>
          <w:rPr>
            <w:color w:val="005293"/>
            <w:u w:val="single" w:color="005293"/>
          </w:rPr>
          <w:t>FAQ: Superintendent Evalu</w:t>
        </w:r>
        <w:r>
          <w:rPr>
            <w:color w:val="005293"/>
            <w:u w:val="single" w:color="005293"/>
          </w:rPr>
          <w:t>a</w:t>
        </w:r>
        <w:r>
          <w:rPr>
            <w:color w:val="005293"/>
            <w:u w:val="single" w:color="005293"/>
          </w:rPr>
          <w:t>tion</w:t>
        </w:r>
      </w:hyperlink>
      <w:r>
        <w:t>.</w:t>
      </w:r>
    </w:p>
    <w:p w14:paraId="386A71F9" w14:textId="50A5AEFA" w:rsidR="008809F3" w:rsidRDefault="000E0F0C">
      <w:pPr>
        <w:pStyle w:val="BodyText"/>
        <w:spacing w:before="179" w:line="276" w:lineRule="auto"/>
        <w:ind w:left="560" w:right="978"/>
      </w:pPr>
      <w:r>
        <w:t xml:space="preserve">The following sections describe three phases of the year-end summative evaluation process for experienced superintendents. </w:t>
      </w:r>
    </w:p>
    <w:p w14:paraId="66A31D12" w14:textId="77777777" w:rsidR="008809F3" w:rsidRDefault="008809F3">
      <w:pPr>
        <w:spacing w:line="276" w:lineRule="auto"/>
        <w:sectPr w:rsidR="008809F3">
          <w:pgSz w:w="12240" w:h="15840"/>
          <w:pgMar w:top="1360" w:right="520" w:bottom="280" w:left="520" w:header="720" w:footer="720" w:gutter="0"/>
          <w:cols w:space="720"/>
        </w:sectPr>
      </w:pPr>
    </w:p>
    <w:p w14:paraId="1A9F1D8C" w14:textId="77777777" w:rsidR="008809F3" w:rsidRPr="00B7209F" w:rsidRDefault="000E0F0C">
      <w:pPr>
        <w:pStyle w:val="Heading1"/>
        <w:rPr>
          <w:rFonts w:ascii="HelveticaNeueLT Std Med Cn" w:hAnsi="HelveticaNeueLT Std Med Cn"/>
        </w:rPr>
      </w:pPr>
      <w:bookmarkStart w:id="3" w:name="Phase_1:_Assessment_of_Competence"/>
      <w:bookmarkEnd w:id="3"/>
      <w:r w:rsidRPr="00B7209F">
        <w:rPr>
          <w:rFonts w:ascii="HelveticaNeueLT Std Med Cn" w:hAnsi="HelveticaNeueLT Std Med Cn"/>
          <w:color w:val="005293"/>
          <w:w w:val="95"/>
        </w:rPr>
        <w:lastRenderedPageBreak/>
        <w:t>Phase 1: Assessment</w:t>
      </w:r>
      <w:r w:rsidR="00B7209F">
        <w:rPr>
          <w:rFonts w:ascii="HelveticaNeueLT Std Med Cn" w:hAnsi="HelveticaNeueLT Std Med Cn"/>
          <w:color w:val="005293"/>
          <w:w w:val="95"/>
        </w:rPr>
        <w:t xml:space="preserve"> of Competence</w:t>
      </w:r>
    </w:p>
    <w:p w14:paraId="653D4DD0" w14:textId="77777777" w:rsidR="008809F3" w:rsidRDefault="000E0F0C">
      <w:pPr>
        <w:pStyle w:val="BodyText"/>
        <w:spacing w:before="182" w:line="276" w:lineRule="auto"/>
        <w:ind w:left="559" w:right="567"/>
      </w:pPr>
      <w:r>
        <w:t>Evaluating the superintendent each year on all 10 ISSL does not have to be daunting. The Assessment of Competence is a brief, high-level conversation of all 10 standards, where the board assesses if the superintendent either meets or does not meet each standard.</w:t>
      </w:r>
    </w:p>
    <w:p w14:paraId="7BDF091D" w14:textId="77777777" w:rsidR="008809F3" w:rsidRDefault="000E0F0C">
      <w:pPr>
        <w:pStyle w:val="BodyText"/>
        <w:spacing w:before="181" w:line="276" w:lineRule="auto"/>
        <w:ind w:left="559" w:right="1174"/>
      </w:pPr>
      <w:r>
        <w:t>If the board has questions regarding the superintendent’s performance at a minimum level of competence, the superintendent and board move into a deeper discussion about what evidence would affirm competence; then, identify and agree upon improvement goals and a timeline for achievement.</w:t>
      </w:r>
    </w:p>
    <w:p w14:paraId="366D9499" w14:textId="77777777" w:rsidR="008809F3" w:rsidRDefault="008809F3">
      <w:pPr>
        <w:pStyle w:val="BodyText"/>
        <w:rPr>
          <w:sz w:val="20"/>
        </w:rPr>
      </w:pPr>
    </w:p>
    <w:p w14:paraId="24EA7D30" w14:textId="77777777" w:rsidR="008809F3" w:rsidRDefault="008809F3">
      <w:pPr>
        <w:pStyle w:val="BodyText"/>
        <w:spacing w:before="8"/>
        <w:rPr>
          <w:sz w:val="20"/>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6930"/>
        <w:gridCol w:w="1260"/>
        <w:gridCol w:w="1255"/>
      </w:tblGrid>
      <w:tr w:rsidR="008809F3" w14:paraId="3C64AFC4" w14:textId="77777777">
        <w:trPr>
          <w:trHeight w:val="723"/>
        </w:trPr>
        <w:tc>
          <w:tcPr>
            <w:tcW w:w="625" w:type="dxa"/>
          </w:tcPr>
          <w:p w14:paraId="52D1587A" w14:textId="77777777" w:rsidR="008809F3" w:rsidRDefault="000E0F0C">
            <w:pPr>
              <w:pStyle w:val="TableParagraph"/>
              <w:spacing w:before="239"/>
              <w:ind w:left="10"/>
              <w:jc w:val="center"/>
              <w:rPr>
                <w:b/>
                <w:sz w:val="24"/>
              </w:rPr>
            </w:pPr>
            <w:r>
              <w:rPr>
                <w:b/>
                <w:sz w:val="24"/>
              </w:rPr>
              <w:t>#</w:t>
            </w:r>
          </w:p>
        </w:tc>
        <w:tc>
          <w:tcPr>
            <w:tcW w:w="6930" w:type="dxa"/>
          </w:tcPr>
          <w:p w14:paraId="443C2972" w14:textId="77777777" w:rsidR="008809F3" w:rsidRDefault="000E0F0C">
            <w:pPr>
              <w:pStyle w:val="TableParagraph"/>
              <w:spacing w:before="159"/>
              <w:ind w:left="108"/>
              <w:rPr>
                <w:b/>
                <w:sz w:val="28"/>
              </w:rPr>
            </w:pPr>
            <w:r>
              <w:rPr>
                <w:b/>
                <w:sz w:val="28"/>
              </w:rPr>
              <w:t>Standards</w:t>
            </w:r>
          </w:p>
        </w:tc>
        <w:tc>
          <w:tcPr>
            <w:tcW w:w="1260" w:type="dxa"/>
          </w:tcPr>
          <w:p w14:paraId="530ECE2F" w14:textId="77777777" w:rsidR="008809F3" w:rsidRDefault="000E0F0C">
            <w:pPr>
              <w:pStyle w:val="TableParagraph"/>
              <w:spacing w:before="200"/>
              <w:ind w:left="306"/>
              <w:rPr>
                <w:b/>
              </w:rPr>
            </w:pPr>
            <w:r>
              <w:rPr>
                <w:b/>
              </w:rPr>
              <w:t>Meets</w:t>
            </w:r>
          </w:p>
        </w:tc>
        <w:tc>
          <w:tcPr>
            <w:tcW w:w="1255" w:type="dxa"/>
          </w:tcPr>
          <w:p w14:paraId="7A08BDC2" w14:textId="77777777" w:rsidR="008809F3" w:rsidRDefault="000E0F0C">
            <w:pPr>
              <w:pStyle w:val="TableParagraph"/>
              <w:spacing w:before="60" w:line="276" w:lineRule="auto"/>
              <w:ind w:left="362" w:right="109" w:hanging="224"/>
              <w:rPr>
                <w:b/>
              </w:rPr>
            </w:pPr>
            <w:r>
              <w:rPr>
                <w:b/>
              </w:rPr>
              <w:t>Does Not Meet</w:t>
            </w:r>
          </w:p>
        </w:tc>
      </w:tr>
      <w:tr w:rsidR="008809F3" w14:paraId="28421B17" w14:textId="77777777">
        <w:trPr>
          <w:trHeight w:val="1367"/>
        </w:trPr>
        <w:tc>
          <w:tcPr>
            <w:tcW w:w="625" w:type="dxa"/>
          </w:tcPr>
          <w:p w14:paraId="7DB7C871" w14:textId="77777777" w:rsidR="008809F3" w:rsidRDefault="000E0F0C">
            <w:pPr>
              <w:pStyle w:val="TableParagraph"/>
              <w:spacing w:before="241"/>
              <w:ind w:left="10"/>
              <w:jc w:val="center"/>
              <w:rPr>
                <w:b/>
                <w:sz w:val="24"/>
              </w:rPr>
            </w:pPr>
            <w:r>
              <w:rPr>
                <w:b/>
                <w:sz w:val="24"/>
              </w:rPr>
              <w:t>1</w:t>
            </w:r>
          </w:p>
        </w:tc>
        <w:tc>
          <w:tcPr>
            <w:tcW w:w="6930" w:type="dxa"/>
          </w:tcPr>
          <w:p w14:paraId="0E9199E1" w14:textId="77777777" w:rsidR="008809F3" w:rsidRDefault="000E0F0C">
            <w:pPr>
              <w:pStyle w:val="TableParagraph"/>
              <w:spacing w:before="61"/>
              <w:ind w:left="108"/>
              <w:rPr>
                <w:b/>
              </w:rPr>
            </w:pPr>
            <w:r>
              <w:rPr>
                <w:b/>
              </w:rPr>
              <w:t>Mission, Vision and Core Values</w:t>
            </w:r>
          </w:p>
          <w:p w14:paraId="02C905EA" w14:textId="77777777" w:rsidR="008809F3" w:rsidRDefault="000E0F0C">
            <w:pPr>
              <w:pStyle w:val="TableParagraph"/>
              <w:spacing w:before="99" w:line="276" w:lineRule="auto"/>
              <w:ind w:left="108" w:right="190"/>
            </w:pPr>
            <w:r>
              <w:t>Superintendent develops, advocates, and enacts a shared mission, vision, and core values of high-quality education and academic success and well-being of each student.</w:t>
            </w:r>
          </w:p>
        </w:tc>
        <w:tc>
          <w:tcPr>
            <w:tcW w:w="1260" w:type="dxa"/>
          </w:tcPr>
          <w:p w14:paraId="74F485D2" w14:textId="77777777" w:rsidR="008809F3" w:rsidRDefault="008809F3">
            <w:pPr>
              <w:pStyle w:val="TableParagraph"/>
              <w:rPr>
                <w:rFonts w:ascii="Times New Roman"/>
              </w:rPr>
            </w:pPr>
          </w:p>
        </w:tc>
        <w:tc>
          <w:tcPr>
            <w:tcW w:w="1255" w:type="dxa"/>
          </w:tcPr>
          <w:p w14:paraId="63BEC2C0" w14:textId="77777777" w:rsidR="008809F3" w:rsidRDefault="008809F3">
            <w:pPr>
              <w:pStyle w:val="TableParagraph"/>
              <w:rPr>
                <w:rFonts w:ascii="Times New Roman"/>
              </w:rPr>
            </w:pPr>
          </w:p>
        </w:tc>
      </w:tr>
      <w:tr w:rsidR="008809F3" w14:paraId="0C243B16" w14:textId="77777777">
        <w:trPr>
          <w:trHeight w:val="1071"/>
        </w:trPr>
        <w:tc>
          <w:tcPr>
            <w:tcW w:w="625" w:type="dxa"/>
          </w:tcPr>
          <w:p w14:paraId="0B1604F2" w14:textId="77777777" w:rsidR="008809F3" w:rsidRDefault="000E0F0C">
            <w:pPr>
              <w:pStyle w:val="TableParagraph"/>
              <w:spacing w:before="240"/>
              <w:ind w:left="10"/>
              <w:jc w:val="center"/>
              <w:rPr>
                <w:b/>
                <w:sz w:val="24"/>
              </w:rPr>
            </w:pPr>
            <w:r>
              <w:rPr>
                <w:b/>
                <w:sz w:val="24"/>
              </w:rPr>
              <w:t>2</w:t>
            </w:r>
          </w:p>
        </w:tc>
        <w:tc>
          <w:tcPr>
            <w:tcW w:w="6930" w:type="dxa"/>
          </w:tcPr>
          <w:p w14:paraId="66C8653E" w14:textId="77777777" w:rsidR="008809F3" w:rsidRDefault="000E0F0C">
            <w:pPr>
              <w:pStyle w:val="TableParagraph"/>
              <w:spacing w:before="60"/>
              <w:ind w:left="108"/>
              <w:rPr>
                <w:b/>
              </w:rPr>
            </w:pPr>
            <w:r>
              <w:rPr>
                <w:b/>
              </w:rPr>
              <w:t>Ethics and Professional Norms</w:t>
            </w:r>
          </w:p>
          <w:p w14:paraId="30E0F79B" w14:textId="77777777" w:rsidR="008809F3" w:rsidRDefault="000E0F0C">
            <w:pPr>
              <w:pStyle w:val="TableParagraph"/>
              <w:spacing w:before="99" w:line="276" w:lineRule="auto"/>
              <w:ind w:left="108" w:right="272"/>
            </w:pPr>
            <w:r>
              <w:t>Superintendent acts ethically and according to professional norms to promote each student's academic success and well-being.</w:t>
            </w:r>
          </w:p>
        </w:tc>
        <w:tc>
          <w:tcPr>
            <w:tcW w:w="1260" w:type="dxa"/>
          </w:tcPr>
          <w:p w14:paraId="4187C75B" w14:textId="77777777" w:rsidR="008809F3" w:rsidRDefault="008809F3">
            <w:pPr>
              <w:pStyle w:val="TableParagraph"/>
              <w:rPr>
                <w:rFonts w:ascii="Times New Roman"/>
              </w:rPr>
            </w:pPr>
          </w:p>
        </w:tc>
        <w:tc>
          <w:tcPr>
            <w:tcW w:w="1255" w:type="dxa"/>
          </w:tcPr>
          <w:p w14:paraId="10F7C3EE" w14:textId="77777777" w:rsidR="008809F3" w:rsidRDefault="008809F3">
            <w:pPr>
              <w:pStyle w:val="TableParagraph"/>
              <w:rPr>
                <w:rFonts w:ascii="Times New Roman"/>
              </w:rPr>
            </w:pPr>
          </w:p>
        </w:tc>
      </w:tr>
      <w:tr w:rsidR="008809F3" w14:paraId="73B4C059" w14:textId="77777777">
        <w:trPr>
          <w:trHeight w:val="1366"/>
        </w:trPr>
        <w:tc>
          <w:tcPr>
            <w:tcW w:w="625" w:type="dxa"/>
          </w:tcPr>
          <w:p w14:paraId="64FB6241" w14:textId="77777777" w:rsidR="008809F3" w:rsidRDefault="000E0F0C">
            <w:pPr>
              <w:pStyle w:val="TableParagraph"/>
              <w:spacing w:before="239"/>
              <w:ind w:left="10"/>
              <w:jc w:val="center"/>
              <w:rPr>
                <w:b/>
                <w:sz w:val="24"/>
              </w:rPr>
            </w:pPr>
            <w:r>
              <w:rPr>
                <w:b/>
                <w:sz w:val="24"/>
              </w:rPr>
              <w:t>3</w:t>
            </w:r>
          </w:p>
        </w:tc>
        <w:tc>
          <w:tcPr>
            <w:tcW w:w="6930" w:type="dxa"/>
          </w:tcPr>
          <w:p w14:paraId="1AF53859" w14:textId="77777777" w:rsidR="008809F3" w:rsidRDefault="000E0F0C">
            <w:pPr>
              <w:pStyle w:val="TableParagraph"/>
              <w:spacing w:before="60"/>
              <w:ind w:left="108"/>
              <w:rPr>
                <w:b/>
              </w:rPr>
            </w:pPr>
            <w:r>
              <w:rPr>
                <w:b/>
              </w:rPr>
              <w:t>Equity and Cultural Responsiveness</w:t>
            </w:r>
          </w:p>
          <w:p w14:paraId="4C7F74EA" w14:textId="77777777" w:rsidR="008809F3" w:rsidRDefault="000E0F0C">
            <w:pPr>
              <w:pStyle w:val="TableParagraph"/>
              <w:spacing w:before="100" w:line="276" w:lineRule="auto"/>
              <w:ind w:left="107" w:right="138"/>
            </w:pPr>
            <w:r>
              <w:t>Superintendent strives for equity of educational opportunity and culturally responsive practices to promote each student’s academic success and well-being.</w:t>
            </w:r>
          </w:p>
        </w:tc>
        <w:tc>
          <w:tcPr>
            <w:tcW w:w="1260" w:type="dxa"/>
          </w:tcPr>
          <w:p w14:paraId="50B512E4" w14:textId="77777777" w:rsidR="008809F3" w:rsidRDefault="008809F3">
            <w:pPr>
              <w:pStyle w:val="TableParagraph"/>
              <w:rPr>
                <w:rFonts w:ascii="Times New Roman"/>
              </w:rPr>
            </w:pPr>
          </w:p>
        </w:tc>
        <w:tc>
          <w:tcPr>
            <w:tcW w:w="1255" w:type="dxa"/>
          </w:tcPr>
          <w:p w14:paraId="4DA2A585" w14:textId="77777777" w:rsidR="008809F3" w:rsidRDefault="008809F3">
            <w:pPr>
              <w:pStyle w:val="TableParagraph"/>
              <w:rPr>
                <w:rFonts w:ascii="Times New Roman"/>
              </w:rPr>
            </w:pPr>
          </w:p>
        </w:tc>
      </w:tr>
      <w:tr w:rsidR="008809F3" w14:paraId="1907C1ED" w14:textId="77777777">
        <w:trPr>
          <w:trHeight w:val="1367"/>
        </w:trPr>
        <w:tc>
          <w:tcPr>
            <w:tcW w:w="625" w:type="dxa"/>
          </w:tcPr>
          <w:p w14:paraId="7843F8C9" w14:textId="77777777" w:rsidR="008809F3" w:rsidRDefault="000E0F0C">
            <w:pPr>
              <w:pStyle w:val="TableParagraph"/>
              <w:spacing w:before="241"/>
              <w:ind w:left="10"/>
              <w:jc w:val="center"/>
              <w:rPr>
                <w:b/>
                <w:sz w:val="24"/>
              </w:rPr>
            </w:pPr>
            <w:r>
              <w:rPr>
                <w:b/>
                <w:sz w:val="24"/>
              </w:rPr>
              <w:t>4</w:t>
            </w:r>
          </w:p>
        </w:tc>
        <w:tc>
          <w:tcPr>
            <w:tcW w:w="6930" w:type="dxa"/>
          </w:tcPr>
          <w:p w14:paraId="62AC2AEF" w14:textId="77777777" w:rsidR="008809F3" w:rsidRDefault="000E0F0C">
            <w:pPr>
              <w:pStyle w:val="TableParagraph"/>
              <w:spacing w:before="61"/>
              <w:ind w:left="108"/>
              <w:rPr>
                <w:b/>
              </w:rPr>
            </w:pPr>
            <w:r>
              <w:rPr>
                <w:b/>
              </w:rPr>
              <w:t>Curriculum, Instruction and Assessment</w:t>
            </w:r>
          </w:p>
          <w:p w14:paraId="01F7ECAB" w14:textId="77777777" w:rsidR="008809F3" w:rsidRDefault="000E0F0C">
            <w:pPr>
              <w:pStyle w:val="TableParagraph"/>
              <w:spacing w:before="99" w:line="276" w:lineRule="auto"/>
              <w:ind w:left="108" w:right="394"/>
            </w:pPr>
            <w:r>
              <w:t>Superintendent develops and supports intellectually rigorous and coherent systems of curriculum, instruction, and assessment to promote each student's academic success and well-being.</w:t>
            </w:r>
          </w:p>
        </w:tc>
        <w:tc>
          <w:tcPr>
            <w:tcW w:w="1260" w:type="dxa"/>
          </w:tcPr>
          <w:p w14:paraId="1F3F076F" w14:textId="77777777" w:rsidR="008809F3" w:rsidRDefault="008809F3">
            <w:pPr>
              <w:pStyle w:val="TableParagraph"/>
              <w:rPr>
                <w:rFonts w:ascii="Times New Roman"/>
              </w:rPr>
            </w:pPr>
          </w:p>
        </w:tc>
        <w:tc>
          <w:tcPr>
            <w:tcW w:w="1255" w:type="dxa"/>
          </w:tcPr>
          <w:p w14:paraId="500CE05A" w14:textId="77777777" w:rsidR="008809F3" w:rsidRDefault="008809F3">
            <w:pPr>
              <w:pStyle w:val="TableParagraph"/>
              <w:rPr>
                <w:rFonts w:ascii="Times New Roman"/>
              </w:rPr>
            </w:pPr>
          </w:p>
        </w:tc>
      </w:tr>
      <w:tr w:rsidR="008809F3" w14:paraId="77624319" w14:textId="77777777">
        <w:trPr>
          <w:trHeight w:val="1366"/>
        </w:trPr>
        <w:tc>
          <w:tcPr>
            <w:tcW w:w="625" w:type="dxa"/>
          </w:tcPr>
          <w:p w14:paraId="59A763C8" w14:textId="77777777" w:rsidR="008809F3" w:rsidRDefault="000E0F0C">
            <w:pPr>
              <w:pStyle w:val="TableParagraph"/>
              <w:spacing w:before="240"/>
              <w:ind w:left="10"/>
              <w:jc w:val="center"/>
              <w:rPr>
                <w:b/>
                <w:sz w:val="24"/>
              </w:rPr>
            </w:pPr>
            <w:r>
              <w:rPr>
                <w:b/>
                <w:sz w:val="24"/>
              </w:rPr>
              <w:t>5</w:t>
            </w:r>
          </w:p>
        </w:tc>
        <w:tc>
          <w:tcPr>
            <w:tcW w:w="6930" w:type="dxa"/>
          </w:tcPr>
          <w:p w14:paraId="05ABE2D3" w14:textId="77777777" w:rsidR="008809F3" w:rsidRDefault="000E0F0C">
            <w:pPr>
              <w:pStyle w:val="TableParagraph"/>
              <w:spacing w:before="60"/>
              <w:ind w:left="108"/>
              <w:rPr>
                <w:b/>
              </w:rPr>
            </w:pPr>
            <w:r>
              <w:rPr>
                <w:b/>
              </w:rPr>
              <w:t>Community Care and Support for Students</w:t>
            </w:r>
          </w:p>
          <w:p w14:paraId="2E297319" w14:textId="77777777" w:rsidR="008809F3" w:rsidRDefault="000E0F0C">
            <w:pPr>
              <w:pStyle w:val="TableParagraph"/>
              <w:spacing w:before="100" w:line="276" w:lineRule="auto"/>
              <w:ind w:left="107" w:right="325"/>
            </w:pPr>
            <w:r>
              <w:t>Superintendent cultivates an inclusive, caring, and supportive school community that promotes the academic success and well- being of each student.</w:t>
            </w:r>
          </w:p>
        </w:tc>
        <w:tc>
          <w:tcPr>
            <w:tcW w:w="1260" w:type="dxa"/>
          </w:tcPr>
          <w:p w14:paraId="073153A3" w14:textId="77777777" w:rsidR="008809F3" w:rsidRDefault="008809F3">
            <w:pPr>
              <w:pStyle w:val="TableParagraph"/>
              <w:rPr>
                <w:rFonts w:ascii="Times New Roman"/>
              </w:rPr>
            </w:pPr>
          </w:p>
        </w:tc>
        <w:tc>
          <w:tcPr>
            <w:tcW w:w="1255" w:type="dxa"/>
          </w:tcPr>
          <w:p w14:paraId="0A62479F" w14:textId="77777777" w:rsidR="008809F3" w:rsidRDefault="008809F3">
            <w:pPr>
              <w:pStyle w:val="TableParagraph"/>
              <w:rPr>
                <w:rFonts w:ascii="Times New Roman"/>
              </w:rPr>
            </w:pPr>
          </w:p>
        </w:tc>
      </w:tr>
      <w:tr w:rsidR="008809F3" w14:paraId="6E900100" w14:textId="77777777">
        <w:trPr>
          <w:trHeight w:val="1367"/>
        </w:trPr>
        <w:tc>
          <w:tcPr>
            <w:tcW w:w="625" w:type="dxa"/>
          </w:tcPr>
          <w:p w14:paraId="0FB519F6" w14:textId="77777777" w:rsidR="008809F3" w:rsidRDefault="000E0F0C">
            <w:pPr>
              <w:pStyle w:val="TableParagraph"/>
              <w:spacing w:before="239"/>
              <w:ind w:left="10"/>
              <w:jc w:val="center"/>
              <w:rPr>
                <w:b/>
                <w:sz w:val="24"/>
              </w:rPr>
            </w:pPr>
            <w:r>
              <w:rPr>
                <w:b/>
                <w:sz w:val="24"/>
              </w:rPr>
              <w:t>6</w:t>
            </w:r>
          </w:p>
        </w:tc>
        <w:tc>
          <w:tcPr>
            <w:tcW w:w="6930" w:type="dxa"/>
          </w:tcPr>
          <w:p w14:paraId="31B199DB" w14:textId="77777777" w:rsidR="008809F3" w:rsidRDefault="000E0F0C">
            <w:pPr>
              <w:pStyle w:val="TableParagraph"/>
              <w:spacing w:before="60"/>
              <w:ind w:left="108"/>
              <w:rPr>
                <w:b/>
              </w:rPr>
            </w:pPr>
            <w:r>
              <w:rPr>
                <w:b/>
              </w:rPr>
              <w:t>Professional Capacity of School Personnel</w:t>
            </w:r>
          </w:p>
          <w:p w14:paraId="056835D6" w14:textId="77777777" w:rsidR="008809F3" w:rsidRDefault="000E0F0C">
            <w:pPr>
              <w:pStyle w:val="TableParagraph"/>
              <w:spacing w:before="100" w:line="276" w:lineRule="auto"/>
              <w:ind w:left="107" w:right="147"/>
            </w:pPr>
            <w:r>
              <w:t>Superintendent develops the professional capacity and practice of school personnel to promote each student’s academic success and well-being.</w:t>
            </w:r>
          </w:p>
        </w:tc>
        <w:tc>
          <w:tcPr>
            <w:tcW w:w="1260" w:type="dxa"/>
          </w:tcPr>
          <w:p w14:paraId="09E60CF7" w14:textId="77777777" w:rsidR="008809F3" w:rsidRDefault="008809F3">
            <w:pPr>
              <w:pStyle w:val="TableParagraph"/>
              <w:rPr>
                <w:rFonts w:ascii="Times New Roman"/>
              </w:rPr>
            </w:pPr>
          </w:p>
        </w:tc>
        <w:tc>
          <w:tcPr>
            <w:tcW w:w="1255" w:type="dxa"/>
          </w:tcPr>
          <w:p w14:paraId="598C1860" w14:textId="77777777" w:rsidR="008809F3" w:rsidRDefault="008809F3">
            <w:pPr>
              <w:pStyle w:val="TableParagraph"/>
              <w:rPr>
                <w:rFonts w:ascii="Times New Roman"/>
              </w:rPr>
            </w:pPr>
          </w:p>
        </w:tc>
      </w:tr>
    </w:tbl>
    <w:p w14:paraId="25834CF2" w14:textId="77777777" w:rsidR="008809F3" w:rsidRDefault="008809F3">
      <w:pPr>
        <w:rPr>
          <w:rFonts w:ascii="Times New Roman"/>
        </w:rPr>
        <w:sectPr w:rsidR="008809F3">
          <w:pgSz w:w="12240" w:h="15840"/>
          <w:pgMar w:top="1360" w:right="520" w:bottom="280" w:left="520" w:header="720" w:footer="720" w:gutter="0"/>
          <w:cols w:space="720"/>
        </w:sect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6930"/>
        <w:gridCol w:w="1260"/>
        <w:gridCol w:w="1255"/>
      </w:tblGrid>
      <w:tr w:rsidR="008809F3" w14:paraId="299B069F" w14:textId="77777777">
        <w:trPr>
          <w:trHeight w:val="1366"/>
        </w:trPr>
        <w:tc>
          <w:tcPr>
            <w:tcW w:w="625" w:type="dxa"/>
          </w:tcPr>
          <w:p w14:paraId="392BA1C7" w14:textId="77777777" w:rsidR="008809F3" w:rsidRDefault="000E0F0C">
            <w:pPr>
              <w:pStyle w:val="TableParagraph"/>
              <w:spacing w:before="239"/>
              <w:ind w:left="10"/>
              <w:jc w:val="center"/>
              <w:rPr>
                <w:b/>
                <w:sz w:val="24"/>
              </w:rPr>
            </w:pPr>
            <w:r>
              <w:rPr>
                <w:b/>
                <w:sz w:val="24"/>
              </w:rPr>
              <w:lastRenderedPageBreak/>
              <w:t>7</w:t>
            </w:r>
          </w:p>
        </w:tc>
        <w:tc>
          <w:tcPr>
            <w:tcW w:w="6930" w:type="dxa"/>
          </w:tcPr>
          <w:p w14:paraId="59EA1C2B" w14:textId="77777777" w:rsidR="008809F3" w:rsidRDefault="000E0F0C">
            <w:pPr>
              <w:pStyle w:val="TableParagraph"/>
              <w:spacing w:before="60"/>
              <w:ind w:left="108"/>
              <w:rPr>
                <w:b/>
              </w:rPr>
            </w:pPr>
            <w:r>
              <w:rPr>
                <w:b/>
              </w:rPr>
              <w:t>Professional Community for Teachers and Staff</w:t>
            </w:r>
          </w:p>
          <w:p w14:paraId="05478567" w14:textId="77777777" w:rsidR="008809F3" w:rsidRDefault="000E0F0C">
            <w:pPr>
              <w:pStyle w:val="TableParagraph"/>
              <w:spacing w:before="100" w:line="276" w:lineRule="auto"/>
              <w:ind w:left="108" w:right="143"/>
            </w:pPr>
            <w:r>
              <w:t>Superintendent fosters a professional community of teachers and professional staff to promote each student’s academic success and well-being.</w:t>
            </w:r>
          </w:p>
        </w:tc>
        <w:tc>
          <w:tcPr>
            <w:tcW w:w="1260" w:type="dxa"/>
          </w:tcPr>
          <w:p w14:paraId="23D5637D" w14:textId="77777777" w:rsidR="008809F3" w:rsidRDefault="008809F3">
            <w:pPr>
              <w:pStyle w:val="TableParagraph"/>
              <w:rPr>
                <w:rFonts w:ascii="Times New Roman"/>
                <w:sz w:val="20"/>
              </w:rPr>
            </w:pPr>
          </w:p>
        </w:tc>
        <w:tc>
          <w:tcPr>
            <w:tcW w:w="1255" w:type="dxa"/>
          </w:tcPr>
          <w:p w14:paraId="4C56662F" w14:textId="77777777" w:rsidR="008809F3" w:rsidRDefault="008809F3">
            <w:pPr>
              <w:pStyle w:val="TableParagraph"/>
              <w:rPr>
                <w:rFonts w:ascii="Times New Roman"/>
                <w:sz w:val="20"/>
              </w:rPr>
            </w:pPr>
          </w:p>
        </w:tc>
      </w:tr>
      <w:tr w:rsidR="008809F3" w14:paraId="2D7CB39D" w14:textId="77777777">
        <w:trPr>
          <w:trHeight w:val="1367"/>
        </w:trPr>
        <w:tc>
          <w:tcPr>
            <w:tcW w:w="625" w:type="dxa"/>
          </w:tcPr>
          <w:p w14:paraId="3B59CAAB" w14:textId="77777777" w:rsidR="008809F3" w:rsidRDefault="000E0F0C">
            <w:pPr>
              <w:pStyle w:val="TableParagraph"/>
              <w:spacing w:before="241"/>
              <w:ind w:left="10"/>
              <w:jc w:val="center"/>
              <w:rPr>
                <w:b/>
                <w:sz w:val="24"/>
              </w:rPr>
            </w:pPr>
            <w:r>
              <w:rPr>
                <w:b/>
                <w:sz w:val="24"/>
              </w:rPr>
              <w:t>8</w:t>
            </w:r>
          </w:p>
        </w:tc>
        <w:tc>
          <w:tcPr>
            <w:tcW w:w="6930" w:type="dxa"/>
          </w:tcPr>
          <w:p w14:paraId="7EC0D1D7" w14:textId="77777777" w:rsidR="008809F3" w:rsidRDefault="000E0F0C">
            <w:pPr>
              <w:pStyle w:val="TableParagraph"/>
              <w:spacing w:before="61"/>
              <w:ind w:left="108"/>
              <w:jc w:val="both"/>
              <w:rPr>
                <w:b/>
              </w:rPr>
            </w:pPr>
            <w:r>
              <w:rPr>
                <w:b/>
              </w:rPr>
              <w:t>Meaningful Engagement of Families and Community</w:t>
            </w:r>
          </w:p>
          <w:p w14:paraId="463F2F7F" w14:textId="77777777" w:rsidR="008809F3" w:rsidRDefault="000E0F0C">
            <w:pPr>
              <w:pStyle w:val="TableParagraph"/>
              <w:spacing w:before="99" w:line="276" w:lineRule="auto"/>
              <w:ind w:left="107" w:right="203"/>
              <w:jc w:val="both"/>
            </w:pPr>
            <w:r>
              <w:t>Superintendent engages families and the community in meaningful, reciprocal, and mutually beneficial ways to promote each student's academic success and well-being.</w:t>
            </w:r>
          </w:p>
        </w:tc>
        <w:tc>
          <w:tcPr>
            <w:tcW w:w="1260" w:type="dxa"/>
          </w:tcPr>
          <w:p w14:paraId="010E07DD" w14:textId="77777777" w:rsidR="008809F3" w:rsidRDefault="008809F3">
            <w:pPr>
              <w:pStyle w:val="TableParagraph"/>
              <w:rPr>
                <w:rFonts w:ascii="Times New Roman"/>
                <w:sz w:val="20"/>
              </w:rPr>
            </w:pPr>
          </w:p>
        </w:tc>
        <w:tc>
          <w:tcPr>
            <w:tcW w:w="1255" w:type="dxa"/>
          </w:tcPr>
          <w:p w14:paraId="12504BE8" w14:textId="77777777" w:rsidR="008809F3" w:rsidRDefault="008809F3">
            <w:pPr>
              <w:pStyle w:val="TableParagraph"/>
              <w:rPr>
                <w:rFonts w:ascii="Times New Roman"/>
                <w:sz w:val="20"/>
              </w:rPr>
            </w:pPr>
          </w:p>
        </w:tc>
      </w:tr>
      <w:tr w:rsidR="008809F3" w14:paraId="343668B9" w14:textId="77777777">
        <w:trPr>
          <w:trHeight w:val="1071"/>
        </w:trPr>
        <w:tc>
          <w:tcPr>
            <w:tcW w:w="625" w:type="dxa"/>
          </w:tcPr>
          <w:p w14:paraId="24035315" w14:textId="77777777" w:rsidR="008809F3" w:rsidRDefault="000E0F0C">
            <w:pPr>
              <w:pStyle w:val="TableParagraph"/>
              <w:spacing w:before="240"/>
              <w:ind w:left="10"/>
              <w:jc w:val="center"/>
              <w:rPr>
                <w:b/>
                <w:sz w:val="24"/>
              </w:rPr>
            </w:pPr>
            <w:r>
              <w:rPr>
                <w:b/>
                <w:sz w:val="24"/>
              </w:rPr>
              <w:t>9</w:t>
            </w:r>
          </w:p>
        </w:tc>
        <w:tc>
          <w:tcPr>
            <w:tcW w:w="6930" w:type="dxa"/>
          </w:tcPr>
          <w:p w14:paraId="2E9721F0" w14:textId="77777777" w:rsidR="008809F3" w:rsidRDefault="000E0F0C">
            <w:pPr>
              <w:pStyle w:val="TableParagraph"/>
              <w:spacing w:before="60"/>
              <w:ind w:left="108"/>
              <w:rPr>
                <w:b/>
              </w:rPr>
            </w:pPr>
            <w:r>
              <w:rPr>
                <w:b/>
              </w:rPr>
              <w:t>Operations and Management</w:t>
            </w:r>
          </w:p>
          <w:p w14:paraId="76FDB316" w14:textId="77777777" w:rsidR="008809F3" w:rsidRDefault="000E0F0C">
            <w:pPr>
              <w:pStyle w:val="TableParagraph"/>
              <w:spacing w:before="100" w:line="276" w:lineRule="auto"/>
              <w:ind w:left="108" w:right="785"/>
            </w:pPr>
            <w:r>
              <w:t>Superintendent manages school operations and resources to promote each student's academic success and well-being.</w:t>
            </w:r>
          </w:p>
        </w:tc>
        <w:tc>
          <w:tcPr>
            <w:tcW w:w="1260" w:type="dxa"/>
          </w:tcPr>
          <w:p w14:paraId="7DCC52B4" w14:textId="77777777" w:rsidR="008809F3" w:rsidRDefault="008809F3">
            <w:pPr>
              <w:pStyle w:val="TableParagraph"/>
              <w:rPr>
                <w:rFonts w:ascii="Times New Roman"/>
                <w:sz w:val="20"/>
              </w:rPr>
            </w:pPr>
          </w:p>
        </w:tc>
        <w:tc>
          <w:tcPr>
            <w:tcW w:w="1255" w:type="dxa"/>
          </w:tcPr>
          <w:p w14:paraId="228DC7CB" w14:textId="77777777" w:rsidR="008809F3" w:rsidRDefault="008809F3">
            <w:pPr>
              <w:pStyle w:val="TableParagraph"/>
              <w:rPr>
                <w:rFonts w:ascii="Times New Roman"/>
                <w:sz w:val="20"/>
              </w:rPr>
            </w:pPr>
          </w:p>
        </w:tc>
      </w:tr>
      <w:tr w:rsidR="008809F3" w14:paraId="796FB4B8" w14:textId="77777777">
        <w:trPr>
          <w:trHeight w:val="1072"/>
        </w:trPr>
        <w:tc>
          <w:tcPr>
            <w:tcW w:w="625" w:type="dxa"/>
          </w:tcPr>
          <w:p w14:paraId="265C60F8" w14:textId="77777777" w:rsidR="008809F3" w:rsidRDefault="000E0F0C">
            <w:pPr>
              <w:pStyle w:val="TableParagraph"/>
              <w:spacing w:before="241"/>
              <w:ind w:left="158" w:right="150"/>
              <w:jc w:val="center"/>
              <w:rPr>
                <w:b/>
                <w:sz w:val="24"/>
              </w:rPr>
            </w:pPr>
            <w:r>
              <w:rPr>
                <w:b/>
                <w:sz w:val="24"/>
              </w:rPr>
              <w:t>10</w:t>
            </w:r>
          </w:p>
        </w:tc>
        <w:tc>
          <w:tcPr>
            <w:tcW w:w="6930" w:type="dxa"/>
          </w:tcPr>
          <w:p w14:paraId="4100C2D1" w14:textId="77777777" w:rsidR="008809F3" w:rsidRDefault="000E0F0C">
            <w:pPr>
              <w:pStyle w:val="TableParagraph"/>
              <w:spacing w:before="61"/>
              <w:ind w:left="108"/>
              <w:rPr>
                <w:b/>
              </w:rPr>
            </w:pPr>
            <w:r>
              <w:rPr>
                <w:b/>
              </w:rPr>
              <w:t>School Improvement</w:t>
            </w:r>
          </w:p>
          <w:p w14:paraId="553E92A8" w14:textId="77777777" w:rsidR="008809F3" w:rsidRDefault="000E0F0C">
            <w:pPr>
              <w:pStyle w:val="TableParagraph"/>
              <w:spacing w:before="99" w:line="276" w:lineRule="auto"/>
              <w:ind w:left="108" w:right="589"/>
            </w:pPr>
            <w:r>
              <w:t>Superintendent acts as an agent of continuous improvement to promote each student’s academic success and well-being.</w:t>
            </w:r>
          </w:p>
        </w:tc>
        <w:tc>
          <w:tcPr>
            <w:tcW w:w="1260" w:type="dxa"/>
          </w:tcPr>
          <w:p w14:paraId="5C8D22DA" w14:textId="77777777" w:rsidR="008809F3" w:rsidRDefault="008809F3">
            <w:pPr>
              <w:pStyle w:val="TableParagraph"/>
              <w:rPr>
                <w:rFonts w:ascii="Times New Roman"/>
                <w:sz w:val="20"/>
              </w:rPr>
            </w:pPr>
          </w:p>
        </w:tc>
        <w:tc>
          <w:tcPr>
            <w:tcW w:w="1255" w:type="dxa"/>
          </w:tcPr>
          <w:p w14:paraId="2D7EEDA6" w14:textId="77777777" w:rsidR="008809F3" w:rsidRDefault="008809F3">
            <w:pPr>
              <w:pStyle w:val="TableParagraph"/>
              <w:rPr>
                <w:rFonts w:ascii="Times New Roman"/>
                <w:sz w:val="20"/>
              </w:rPr>
            </w:pPr>
          </w:p>
        </w:tc>
      </w:tr>
    </w:tbl>
    <w:p w14:paraId="4D74F89E" w14:textId="77777777" w:rsidR="008809F3" w:rsidRDefault="008809F3">
      <w:pPr>
        <w:pStyle w:val="BodyText"/>
        <w:rPr>
          <w:sz w:val="20"/>
        </w:rPr>
      </w:pPr>
    </w:p>
    <w:p w14:paraId="1B72B651" w14:textId="77777777" w:rsidR="008809F3" w:rsidRDefault="008809F3">
      <w:pPr>
        <w:pStyle w:val="BodyText"/>
        <w:rPr>
          <w:sz w:val="20"/>
        </w:rPr>
      </w:pPr>
    </w:p>
    <w:p w14:paraId="1AC91101" w14:textId="77777777" w:rsidR="008809F3" w:rsidRDefault="008809F3">
      <w:pPr>
        <w:pStyle w:val="BodyText"/>
        <w:rPr>
          <w:sz w:val="20"/>
        </w:rPr>
      </w:pPr>
    </w:p>
    <w:p w14:paraId="2E9E0318" w14:textId="77777777" w:rsidR="008809F3" w:rsidRDefault="008809F3">
      <w:pPr>
        <w:pStyle w:val="BodyText"/>
        <w:rPr>
          <w:sz w:val="20"/>
        </w:rPr>
      </w:pPr>
    </w:p>
    <w:p w14:paraId="7EE97E3D" w14:textId="77777777" w:rsidR="008809F3" w:rsidRDefault="008809F3">
      <w:pPr>
        <w:pStyle w:val="BodyText"/>
        <w:rPr>
          <w:sz w:val="20"/>
        </w:rPr>
      </w:pPr>
    </w:p>
    <w:p w14:paraId="5E9CF826" w14:textId="77777777" w:rsidR="008809F3" w:rsidRDefault="008809F3">
      <w:pPr>
        <w:pStyle w:val="BodyText"/>
        <w:spacing w:before="3"/>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70"/>
      </w:tblGrid>
      <w:tr w:rsidR="008809F3" w14:paraId="671134A5" w14:textId="77777777">
        <w:trPr>
          <w:trHeight w:val="402"/>
        </w:trPr>
        <w:tc>
          <w:tcPr>
            <w:tcW w:w="10070" w:type="dxa"/>
          </w:tcPr>
          <w:p w14:paraId="46E8ABBC" w14:textId="77777777" w:rsidR="008809F3" w:rsidRDefault="000E0F0C">
            <w:pPr>
              <w:pStyle w:val="TableParagraph"/>
              <w:spacing w:before="60"/>
              <w:ind w:left="107"/>
              <w:rPr>
                <w:b/>
              </w:rPr>
            </w:pPr>
            <w:r>
              <w:rPr>
                <w:b/>
              </w:rPr>
              <w:t>Comments/Supporting Evidence:</w:t>
            </w:r>
          </w:p>
        </w:tc>
      </w:tr>
      <w:tr w:rsidR="008809F3" w14:paraId="79C22BB8" w14:textId="77777777">
        <w:trPr>
          <w:trHeight w:val="3058"/>
        </w:trPr>
        <w:tc>
          <w:tcPr>
            <w:tcW w:w="10070" w:type="dxa"/>
          </w:tcPr>
          <w:p w14:paraId="1A1D869E" w14:textId="77777777" w:rsidR="008809F3" w:rsidRDefault="008809F3">
            <w:pPr>
              <w:pStyle w:val="TableParagraph"/>
              <w:rPr>
                <w:rFonts w:ascii="Times New Roman"/>
                <w:sz w:val="20"/>
              </w:rPr>
            </w:pPr>
          </w:p>
        </w:tc>
      </w:tr>
    </w:tbl>
    <w:p w14:paraId="29142742" w14:textId="77777777" w:rsidR="008809F3" w:rsidRDefault="008809F3">
      <w:pPr>
        <w:rPr>
          <w:rFonts w:ascii="Times New Roman"/>
          <w:sz w:val="20"/>
        </w:rPr>
        <w:sectPr w:rsidR="008809F3">
          <w:pgSz w:w="12240" w:h="15840"/>
          <w:pgMar w:top="1440" w:right="520" w:bottom="280" w:left="520" w:header="720" w:footer="720" w:gutter="0"/>
          <w:cols w:space="720"/>
        </w:sectPr>
      </w:pPr>
    </w:p>
    <w:p w14:paraId="0532DABC" w14:textId="77777777" w:rsidR="008809F3" w:rsidRPr="00B7209F" w:rsidRDefault="000E0F0C">
      <w:pPr>
        <w:pStyle w:val="Heading1"/>
        <w:spacing w:line="244" w:lineRule="auto"/>
        <w:ind w:right="1486"/>
        <w:rPr>
          <w:rFonts w:ascii="HelveticaNeueLT Std Med Cn" w:hAnsi="HelveticaNeueLT Std Med Cn"/>
        </w:rPr>
      </w:pPr>
      <w:bookmarkStart w:id="4" w:name="Phase_2:_Review_Current_Superintendent_G"/>
      <w:bookmarkEnd w:id="4"/>
      <w:r w:rsidRPr="00B7209F">
        <w:rPr>
          <w:rFonts w:ascii="HelveticaNeueLT Std Med Cn" w:hAnsi="HelveticaNeueLT Std Med Cn"/>
          <w:color w:val="005293"/>
          <w:w w:val="90"/>
        </w:rPr>
        <w:lastRenderedPageBreak/>
        <w:t>Phase</w:t>
      </w:r>
      <w:r w:rsidR="00B7209F" w:rsidRPr="00B7209F">
        <w:rPr>
          <w:rFonts w:ascii="HelveticaNeueLT Std Med Cn" w:hAnsi="HelveticaNeueLT Std Med Cn"/>
          <w:color w:val="005293"/>
          <w:w w:val="90"/>
        </w:rPr>
        <w:t xml:space="preserve"> 2</w:t>
      </w:r>
      <w:r w:rsidRPr="00B7209F">
        <w:rPr>
          <w:rFonts w:ascii="HelveticaNeueLT Std Med Cn" w:hAnsi="HelveticaNeueLT Std Med Cn"/>
          <w:color w:val="005293"/>
          <w:w w:val="90"/>
        </w:rPr>
        <w:t>:</w:t>
      </w:r>
      <w:r w:rsidR="00B7209F" w:rsidRPr="00B7209F">
        <w:rPr>
          <w:rFonts w:ascii="HelveticaNeueLT Std Med Cn" w:hAnsi="HelveticaNeueLT Std Med Cn"/>
          <w:color w:val="005293"/>
          <w:w w:val="90"/>
        </w:rPr>
        <w:t xml:space="preserve"> </w:t>
      </w:r>
      <w:r w:rsidRPr="00B7209F">
        <w:rPr>
          <w:rFonts w:ascii="HelveticaNeueLT Std Med Cn" w:hAnsi="HelveticaNeueLT Std Med Cn"/>
          <w:color w:val="005293"/>
          <w:spacing w:val="-48"/>
          <w:w w:val="90"/>
        </w:rPr>
        <w:t xml:space="preserve"> </w:t>
      </w:r>
      <w:r w:rsidRPr="00B7209F">
        <w:rPr>
          <w:rFonts w:ascii="HelveticaNeueLT Std Med Cn" w:hAnsi="HelveticaNeueLT Std Med Cn"/>
          <w:color w:val="005293"/>
          <w:w w:val="90"/>
        </w:rPr>
        <w:t>Review</w:t>
      </w:r>
      <w:r w:rsidR="00B7209F" w:rsidRPr="00B7209F">
        <w:rPr>
          <w:rFonts w:ascii="HelveticaNeueLT Std Med Cn" w:hAnsi="HelveticaNeueLT Std Med Cn"/>
          <w:color w:val="005293"/>
          <w:w w:val="90"/>
        </w:rPr>
        <w:t xml:space="preserve"> Current</w:t>
      </w:r>
      <w:r w:rsidR="00B7209F">
        <w:rPr>
          <w:rFonts w:ascii="HelveticaNeueLT Std Med Cn" w:hAnsi="HelveticaNeueLT Std Med Cn"/>
          <w:color w:val="005293"/>
          <w:w w:val="90"/>
        </w:rPr>
        <w:t xml:space="preserve"> Superintendent </w:t>
      </w:r>
      <w:r w:rsidRPr="00B7209F">
        <w:rPr>
          <w:rFonts w:ascii="HelveticaNeueLT Std Med Cn" w:hAnsi="HelveticaNeueLT Std Med Cn"/>
          <w:color w:val="005293"/>
          <w:w w:val="90"/>
        </w:rPr>
        <w:t>Goals</w:t>
      </w:r>
      <w:r w:rsidR="00B7209F">
        <w:rPr>
          <w:rFonts w:ascii="HelveticaNeueLT Std Med Cn" w:hAnsi="HelveticaNeueLT Std Med Cn"/>
          <w:color w:val="005293"/>
          <w:w w:val="90"/>
        </w:rPr>
        <w:t xml:space="preserve"> </w:t>
      </w:r>
      <w:r w:rsidRPr="00B7209F">
        <w:rPr>
          <w:rFonts w:ascii="HelveticaNeueLT Std Med Cn" w:hAnsi="HelveticaNeueLT Std Med Cn"/>
          <w:color w:val="005293"/>
          <w:w w:val="90"/>
        </w:rPr>
        <w:t>in</w:t>
      </w:r>
      <w:r w:rsidR="00B7209F">
        <w:rPr>
          <w:rFonts w:ascii="HelveticaNeueLT Std Med Cn" w:hAnsi="HelveticaNeueLT Std Med Cn"/>
          <w:color w:val="005293"/>
          <w:w w:val="90"/>
        </w:rPr>
        <w:t xml:space="preserve"> </w:t>
      </w:r>
      <w:r w:rsidRPr="00B7209F">
        <w:rPr>
          <w:rFonts w:ascii="HelveticaNeueLT Std Med Cn" w:hAnsi="HelveticaNeueLT Std Med Cn"/>
          <w:color w:val="005293"/>
          <w:w w:val="90"/>
        </w:rPr>
        <w:t>Relation</w:t>
      </w:r>
      <w:r w:rsidR="00B7209F">
        <w:rPr>
          <w:rFonts w:ascii="HelveticaNeueLT Std Med Cn" w:hAnsi="HelveticaNeueLT Std Med Cn"/>
          <w:color w:val="005293"/>
          <w:w w:val="90"/>
        </w:rPr>
        <w:t xml:space="preserve"> </w:t>
      </w:r>
      <w:r w:rsidRPr="00B7209F">
        <w:rPr>
          <w:rFonts w:ascii="HelveticaNeueLT Std Med Cn" w:hAnsi="HelveticaNeueLT Std Med Cn"/>
          <w:color w:val="005293"/>
          <w:w w:val="90"/>
        </w:rPr>
        <w:t>to</w:t>
      </w:r>
      <w:r w:rsidR="00B7209F">
        <w:rPr>
          <w:rFonts w:ascii="HelveticaNeueLT Std Med Cn" w:hAnsi="HelveticaNeueLT Std Med Cn"/>
          <w:color w:val="005293"/>
          <w:w w:val="90"/>
        </w:rPr>
        <w:t xml:space="preserve"> </w:t>
      </w:r>
      <w:r w:rsidRPr="00B7209F">
        <w:rPr>
          <w:rFonts w:ascii="HelveticaNeueLT Std Med Cn" w:hAnsi="HelveticaNeueLT Std Med Cn"/>
          <w:color w:val="005293"/>
          <w:w w:val="90"/>
        </w:rPr>
        <w:t>Specific</w:t>
      </w:r>
      <w:r w:rsidR="00B7209F">
        <w:rPr>
          <w:rFonts w:ascii="HelveticaNeueLT Std Med Cn" w:hAnsi="HelveticaNeueLT Std Med Cn"/>
          <w:color w:val="005293"/>
          <w:w w:val="90"/>
        </w:rPr>
        <w:t xml:space="preserve"> </w:t>
      </w:r>
      <w:r w:rsidRPr="00B7209F">
        <w:rPr>
          <w:rFonts w:ascii="HelveticaNeueLT Std Med Cn" w:hAnsi="HelveticaNeueLT Std Med Cn"/>
          <w:color w:val="005293"/>
          <w:w w:val="90"/>
        </w:rPr>
        <w:t>Iowa</w:t>
      </w:r>
      <w:r w:rsidR="00B7209F">
        <w:rPr>
          <w:rFonts w:ascii="HelveticaNeueLT Std Med Cn" w:hAnsi="HelveticaNeueLT Std Med Cn"/>
          <w:color w:val="005293"/>
          <w:w w:val="90"/>
        </w:rPr>
        <w:t xml:space="preserve"> </w:t>
      </w:r>
      <w:r w:rsidRPr="00B7209F">
        <w:rPr>
          <w:rFonts w:ascii="HelveticaNeueLT Std Med Cn" w:hAnsi="HelveticaNeueLT Std Med Cn"/>
          <w:color w:val="005293"/>
          <w:w w:val="95"/>
        </w:rPr>
        <w:t>Standards</w:t>
      </w:r>
      <w:r w:rsidR="00B7209F">
        <w:rPr>
          <w:rFonts w:ascii="HelveticaNeueLT Std Med Cn" w:hAnsi="HelveticaNeueLT Std Med Cn"/>
          <w:color w:val="005293"/>
          <w:w w:val="95"/>
        </w:rPr>
        <w:t xml:space="preserve"> </w:t>
      </w:r>
      <w:r w:rsidRPr="00B7209F">
        <w:rPr>
          <w:rFonts w:ascii="HelveticaNeueLT Std Med Cn" w:hAnsi="HelveticaNeueLT Std Med Cn"/>
          <w:color w:val="005293"/>
          <w:w w:val="95"/>
        </w:rPr>
        <w:t>for</w:t>
      </w:r>
      <w:r w:rsidR="00B7209F">
        <w:rPr>
          <w:rFonts w:ascii="HelveticaNeueLT Std Med Cn" w:hAnsi="HelveticaNeueLT Std Med Cn"/>
          <w:color w:val="005293"/>
          <w:w w:val="95"/>
        </w:rPr>
        <w:t xml:space="preserve"> </w:t>
      </w:r>
      <w:r w:rsidRPr="00B7209F">
        <w:rPr>
          <w:rFonts w:ascii="HelveticaNeueLT Std Med Cn" w:hAnsi="HelveticaNeueLT Std Med Cn"/>
          <w:color w:val="005293"/>
          <w:w w:val="95"/>
        </w:rPr>
        <w:t>School</w:t>
      </w:r>
      <w:r w:rsidR="00B7209F">
        <w:rPr>
          <w:rFonts w:ascii="HelveticaNeueLT Std Med Cn" w:hAnsi="HelveticaNeueLT Std Med Cn"/>
          <w:color w:val="005293"/>
          <w:w w:val="95"/>
        </w:rPr>
        <w:t xml:space="preserve"> </w:t>
      </w:r>
      <w:r w:rsidRPr="00B7209F">
        <w:rPr>
          <w:rFonts w:ascii="HelveticaNeueLT Std Med Cn" w:hAnsi="HelveticaNeueLT Std Med Cn"/>
          <w:color w:val="005293"/>
          <w:w w:val="95"/>
        </w:rPr>
        <w:t>Leaders</w:t>
      </w:r>
      <w:r w:rsidR="00B7209F">
        <w:rPr>
          <w:rFonts w:ascii="HelveticaNeueLT Std Med Cn" w:hAnsi="HelveticaNeueLT Std Med Cn"/>
          <w:color w:val="005293"/>
          <w:w w:val="95"/>
        </w:rPr>
        <w:t xml:space="preserve"> </w:t>
      </w:r>
      <w:r w:rsidRPr="00B7209F">
        <w:rPr>
          <w:rFonts w:ascii="HelveticaNeueLT Std Med Cn" w:hAnsi="HelveticaNeueLT Std Med Cn"/>
          <w:color w:val="005293"/>
          <w:w w:val="95"/>
        </w:rPr>
        <w:t>(ISSL)</w:t>
      </w:r>
    </w:p>
    <w:p w14:paraId="0AFE03EA" w14:textId="77777777" w:rsidR="008809F3" w:rsidRDefault="000E0F0C">
      <w:pPr>
        <w:pStyle w:val="Heading3"/>
        <w:spacing w:before="173"/>
      </w:pPr>
      <w:r>
        <w:t>Overview</w:t>
      </w:r>
    </w:p>
    <w:p w14:paraId="4DE8E287" w14:textId="77777777" w:rsidR="008809F3" w:rsidRDefault="000E0F0C">
      <w:pPr>
        <w:pStyle w:val="BodyText"/>
        <w:spacing w:before="220" w:line="276" w:lineRule="auto"/>
        <w:ind w:left="560" w:right="734"/>
        <w:jc w:val="both"/>
      </w:pPr>
      <w:r>
        <w:t>In phase one, the board established the superintendent’s competence in meeting all 10 standards. In phase two, the board takes a deeper dive on the superintendent’s growth and development over the year relative to the:</w:t>
      </w:r>
    </w:p>
    <w:p w14:paraId="7A47298F" w14:textId="77777777" w:rsidR="008809F3" w:rsidRDefault="000E0F0C">
      <w:pPr>
        <w:pStyle w:val="ListParagraph"/>
        <w:numPr>
          <w:ilvl w:val="0"/>
          <w:numId w:val="1"/>
        </w:numPr>
        <w:tabs>
          <w:tab w:val="left" w:pos="1191"/>
        </w:tabs>
        <w:spacing w:before="179"/>
        <w:ind w:left="1190" w:hanging="271"/>
      </w:pPr>
      <w:r>
        <w:t>Superintendent’s established</w:t>
      </w:r>
      <w:r>
        <w:rPr>
          <w:spacing w:val="-1"/>
        </w:rPr>
        <w:t xml:space="preserve"> </w:t>
      </w:r>
      <w:r>
        <w:t>goals.</w:t>
      </w:r>
    </w:p>
    <w:p w14:paraId="17124EF5" w14:textId="77777777" w:rsidR="008809F3" w:rsidRDefault="000E0F0C">
      <w:pPr>
        <w:pStyle w:val="ListParagraph"/>
        <w:numPr>
          <w:ilvl w:val="0"/>
          <w:numId w:val="1"/>
        </w:numPr>
        <w:tabs>
          <w:tab w:val="left" w:pos="1191"/>
        </w:tabs>
        <w:spacing w:before="218"/>
        <w:ind w:left="1190" w:hanging="271"/>
      </w:pPr>
      <w:r>
        <w:t>Specific standards aligned to the</w:t>
      </w:r>
      <w:r>
        <w:rPr>
          <w:spacing w:val="-3"/>
        </w:rPr>
        <w:t xml:space="preserve"> </w:t>
      </w:r>
      <w:r>
        <w:t>goals.</w:t>
      </w:r>
    </w:p>
    <w:p w14:paraId="346BD828" w14:textId="77777777" w:rsidR="008809F3" w:rsidRDefault="000E0F0C">
      <w:pPr>
        <w:pStyle w:val="BodyText"/>
        <w:spacing w:before="218" w:line="276" w:lineRule="auto"/>
        <w:ind w:left="559" w:right="588"/>
        <w:jc w:val="both"/>
      </w:pPr>
      <w:r>
        <w:t>This portion of the year-end conference is designed to give feedback on a continuum of growth, using a strengths-based approach for developing the capacity of the superintendent. There are four levels of performance—from ineffective to highly effective.</w:t>
      </w:r>
    </w:p>
    <w:p w14:paraId="2850577D" w14:textId="77777777" w:rsidR="008809F3" w:rsidRDefault="000E0F0C">
      <w:pPr>
        <w:pStyle w:val="Heading3"/>
        <w:spacing w:before="179"/>
      </w:pPr>
      <w:r>
        <w:t>Definitions of Effectiveness</w:t>
      </w:r>
    </w:p>
    <w:p w14:paraId="2D3931E6" w14:textId="77777777" w:rsidR="008809F3" w:rsidRDefault="000E0F0C">
      <w:pPr>
        <w:pStyle w:val="BodyText"/>
        <w:spacing w:before="220" w:line="276" w:lineRule="auto"/>
        <w:ind w:left="560" w:right="747"/>
      </w:pPr>
      <w:r>
        <w:t xml:space="preserve">These definitions can support the board in understanding performance of each standard. Note: The ineffective category stands alone and performance in this area indicates a significant need for intervention and assistance. </w:t>
      </w:r>
      <w:r>
        <w:rPr>
          <w:b/>
        </w:rPr>
        <w:t xml:space="preserve">The three columns to the right </w:t>
      </w:r>
      <w:r>
        <w:t xml:space="preserve">represent the continuum of growth of a school leader and performance in any of these columns </w:t>
      </w:r>
      <w:r>
        <w:rPr>
          <w:b/>
          <w:u w:val="single"/>
        </w:rPr>
        <w:t>meets the standard</w:t>
      </w:r>
      <w:r>
        <w:t>.</w:t>
      </w:r>
    </w:p>
    <w:p w14:paraId="063C1615" w14:textId="77777777" w:rsidR="008809F3" w:rsidRPr="00B7209F" w:rsidRDefault="000E0F0C">
      <w:pPr>
        <w:spacing w:before="182"/>
        <w:ind w:left="560"/>
        <w:jc w:val="both"/>
        <w:rPr>
          <w:rFonts w:ascii="HelveticaNeueLT Std Med Cn" w:hAnsi="HelveticaNeueLT Std Med Cn"/>
          <w:sz w:val="28"/>
          <w:szCs w:val="28"/>
        </w:rPr>
      </w:pPr>
      <w:r w:rsidRPr="00B7209F">
        <w:rPr>
          <w:rFonts w:ascii="HelveticaNeueLT Std Med Cn" w:hAnsi="HelveticaNeueLT Std Med Cn"/>
          <w:color w:val="DC6B27"/>
          <w:w w:val="95"/>
          <w:sz w:val="28"/>
          <w:szCs w:val="28"/>
        </w:rPr>
        <w:t>Does not meet the standard</w:t>
      </w:r>
    </w:p>
    <w:p w14:paraId="4A27C8B8" w14:textId="77777777" w:rsidR="008809F3" w:rsidRDefault="000E0F0C">
      <w:pPr>
        <w:pStyle w:val="BodyText"/>
        <w:spacing w:before="182" w:line="276" w:lineRule="auto"/>
        <w:ind w:left="560" w:right="1328"/>
      </w:pPr>
      <w:r>
        <w:rPr>
          <w:b/>
        </w:rPr>
        <w:t xml:space="preserve">Ineffective: </w:t>
      </w:r>
      <w:r>
        <w:t>The superintendent may be aware of effective practices but does not consistently demonstrate evidence of implementation. Leadership is inconsistent, ineffective and in need of significant intervention and assistance.</w:t>
      </w:r>
    </w:p>
    <w:p w14:paraId="734C114F" w14:textId="77777777" w:rsidR="008809F3" w:rsidRPr="00B7209F" w:rsidRDefault="000E0F0C">
      <w:pPr>
        <w:pStyle w:val="Heading2"/>
        <w:rPr>
          <w:rFonts w:ascii="HelveticaNeueLT Std Med Cn" w:hAnsi="HelveticaNeueLT Std Med Cn"/>
          <w:sz w:val="28"/>
          <w:szCs w:val="28"/>
        </w:rPr>
      </w:pPr>
      <w:r w:rsidRPr="00B7209F">
        <w:rPr>
          <w:rFonts w:ascii="HelveticaNeueLT Std Med Cn" w:hAnsi="HelveticaNeueLT Std Med Cn"/>
          <w:color w:val="DC6B27"/>
          <w:w w:val="95"/>
          <w:sz w:val="28"/>
          <w:szCs w:val="28"/>
        </w:rPr>
        <w:t>Meets the standard</w:t>
      </w:r>
    </w:p>
    <w:p w14:paraId="4840F511" w14:textId="77777777" w:rsidR="008809F3" w:rsidRDefault="000E0F0C">
      <w:pPr>
        <w:pStyle w:val="BodyText"/>
        <w:spacing w:before="182" w:line="276" w:lineRule="auto"/>
        <w:ind w:left="560" w:right="979" w:hanging="1"/>
      </w:pPr>
      <w:r>
        <w:rPr>
          <w:b/>
        </w:rPr>
        <w:t xml:space="preserve">Developing: </w:t>
      </w:r>
      <w:r>
        <w:t>The superintendent knows and models effective practices. They strive to implement consistently and are in the process of building their own capacity to do so. Their leadership shows growth and promise.</w:t>
      </w:r>
    </w:p>
    <w:p w14:paraId="7F066045" w14:textId="77777777" w:rsidR="008809F3" w:rsidRDefault="000E0F0C">
      <w:pPr>
        <w:pStyle w:val="BodyText"/>
        <w:spacing w:before="180" w:line="276" w:lineRule="auto"/>
        <w:ind w:left="560" w:right="905" w:hanging="1"/>
      </w:pPr>
      <w:r>
        <w:rPr>
          <w:b/>
        </w:rPr>
        <w:t xml:space="preserve">Effective: </w:t>
      </w:r>
      <w:r>
        <w:t>The superintendent consistently implements effective practices. They build capacity, distribute and share leadership, collaborate and create collective efficacy such that school improvement goals are achieved. Their leadership encompasses the depth and fullness of the Iowa standards.</w:t>
      </w:r>
    </w:p>
    <w:p w14:paraId="32A821C4" w14:textId="77777777" w:rsidR="008809F3" w:rsidRDefault="000E0F0C">
      <w:pPr>
        <w:pStyle w:val="BodyText"/>
        <w:spacing w:before="179" w:line="276" w:lineRule="auto"/>
        <w:ind w:left="560" w:right="939"/>
      </w:pPr>
      <w:r>
        <w:rPr>
          <w:b/>
        </w:rPr>
        <w:t xml:space="preserve">Highly Effective: </w:t>
      </w:r>
      <w:r>
        <w:t>The superintendent promotes and advances effective practices both within and beyond their own school. They serve as a resource to colleagues and local and state organizations because of their impactful leadership and sustained results.</w:t>
      </w:r>
    </w:p>
    <w:p w14:paraId="772428DA" w14:textId="77777777" w:rsidR="008809F3" w:rsidRDefault="008809F3">
      <w:pPr>
        <w:spacing w:line="276" w:lineRule="auto"/>
        <w:sectPr w:rsidR="008809F3">
          <w:pgSz w:w="12240" w:h="15840"/>
          <w:pgMar w:top="1360" w:right="520" w:bottom="280" w:left="520" w:header="720" w:footer="720" w:gutter="0"/>
          <w:cols w:space="720"/>
        </w:sectPr>
      </w:pPr>
    </w:p>
    <w:p w14:paraId="41402C6E" w14:textId="77777777" w:rsidR="008809F3" w:rsidRDefault="000E0F0C">
      <w:pPr>
        <w:pStyle w:val="Heading3"/>
      </w:pPr>
      <w:r>
        <w:lastRenderedPageBreak/>
        <w:t>Assessing Performance on a Continuum of Growth</w:t>
      </w:r>
    </w:p>
    <w:p w14:paraId="55F54DE7" w14:textId="77777777" w:rsidR="008809F3" w:rsidRDefault="000E0F0C">
      <w:pPr>
        <w:pStyle w:val="BodyText"/>
        <w:spacing w:before="220" w:line="276" w:lineRule="auto"/>
        <w:ind w:left="560" w:right="1696"/>
      </w:pPr>
      <w:r>
        <w:t>Thoughtful and meaningful feedback reflects an effective evaluation process and allows for professional and personal growth.</w:t>
      </w:r>
    </w:p>
    <w:p w14:paraId="3EBA7DDF" w14:textId="77777777" w:rsidR="008809F3" w:rsidRDefault="000E0F0C">
      <w:pPr>
        <w:pStyle w:val="BodyText"/>
        <w:spacing w:before="179" w:line="276" w:lineRule="auto"/>
        <w:ind w:left="560" w:right="599"/>
      </w:pPr>
      <w:r>
        <w:t xml:space="preserve">When determining the level of effectiveness on the continuum, the question to be answered is, ‘Where has the superintendent performed most of the time?’ To help guide the discussion, you can use and review the sample indicators for each standard provided on pp. 10-30 on the </w:t>
      </w:r>
      <w:hyperlink r:id="rId12">
        <w:r>
          <w:rPr>
            <w:color w:val="005293"/>
            <w:u w:val="single" w:color="005293"/>
          </w:rPr>
          <w:t>Superintendent</w:t>
        </w:r>
      </w:hyperlink>
      <w:r>
        <w:rPr>
          <w:color w:val="005293"/>
        </w:rPr>
        <w:t xml:space="preserve"> </w:t>
      </w:r>
      <w:hyperlink r:id="rId13">
        <w:r>
          <w:rPr>
            <w:color w:val="005293"/>
            <w:u w:val="single" w:color="005293"/>
          </w:rPr>
          <w:t>Leadership Performance Review</w:t>
        </w:r>
        <w:r>
          <w:rPr>
            <w:color w:val="005293"/>
          </w:rPr>
          <w:t xml:space="preserve"> </w:t>
        </w:r>
      </w:hyperlink>
      <w:r>
        <w:t>document.</w:t>
      </w:r>
    </w:p>
    <w:p w14:paraId="137B9D85" w14:textId="77777777" w:rsidR="008809F3" w:rsidRDefault="008809F3">
      <w:pPr>
        <w:pStyle w:val="BodyText"/>
        <w:rPr>
          <w:sz w:val="20"/>
        </w:rPr>
      </w:pPr>
    </w:p>
    <w:p w14:paraId="0856B210" w14:textId="77777777" w:rsidR="008809F3" w:rsidRDefault="008809F3">
      <w:pPr>
        <w:pStyle w:val="BodyText"/>
        <w:spacing w:before="7"/>
        <w:rPr>
          <w:sz w:val="27"/>
        </w:rPr>
      </w:pPr>
    </w:p>
    <w:p w14:paraId="00F9D2E1" w14:textId="77777777" w:rsidR="008809F3" w:rsidRDefault="000E0F0C">
      <w:pPr>
        <w:pStyle w:val="BodyText"/>
        <w:spacing w:before="100"/>
        <w:ind w:left="560"/>
      </w:pPr>
      <w:r>
        <w:t>Consider the following when writing comments:</w:t>
      </w:r>
    </w:p>
    <w:p w14:paraId="0B1BA4A9" w14:textId="77777777" w:rsidR="008809F3" w:rsidRDefault="000E0F0C">
      <w:pPr>
        <w:pStyle w:val="ListParagraph"/>
        <w:numPr>
          <w:ilvl w:val="0"/>
          <w:numId w:val="1"/>
        </w:numPr>
        <w:tabs>
          <w:tab w:val="left" w:pos="1191"/>
        </w:tabs>
        <w:ind w:left="1190" w:hanging="271"/>
      </w:pPr>
      <w:r>
        <w:t>Provide specific examples of a strength, including when/how it was</w:t>
      </w:r>
      <w:r>
        <w:rPr>
          <w:spacing w:val="-10"/>
        </w:rPr>
        <w:t xml:space="preserve"> </w:t>
      </w:r>
      <w:r>
        <w:t>performed.</w:t>
      </w:r>
    </w:p>
    <w:p w14:paraId="3E888D3C" w14:textId="77777777" w:rsidR="008809F3" w:rsidRDefault="000E0F0C">
      <w:pPr>
        <w:pStyle w:val="ListParagraph"/>
        <w:numPr>
          <w:ilvl w:val="0"/>
          <w:numId w:val="1"/>
        </w:numPr>
        <w:tabs>
          <w:tab w:val="left" w:pos="1191"/>
        </w:tabs>
        <w:spacing w:before="177"/>
        <w:ind w:left="1190" w:hanging="271"/>
      </w:pPr>
      <w:r>
        <w:t>Identify potential challenges and opportunities for</w:t>
      </w:r>
      <w:r>
        <w:rPr>
          <w:spacing w:val="-3"/>
        </w:rPr>
        <w:t xml:space="preserve"> </w:t>
      </w:r>
      <w:r>
        <w:t>growth.</w:t>
      </w:r>
    </w:p>
    <w:p w14:paraId="179F11BA" w14:textId="77777777" w:rsidR="008809F3" w:rsidRDefault="000E0F0C">
      <w:pPr>
        <w:pStyle w:val="ListParagraph"/>
        <w:numPr>
          <w:ilvl w:val="0"/>
          <w:numId w:val="1"/>
        </w:numPr>
        <w:tabs>
          <w:tab w:val="left" w:pos="1191"/>
        </w:tabs>
        <w:ind w:left="1190" w:hanging="271"/>
      </w:pPr>
      <w:r>
        <w:t>Suggest supports that could elevate the superintendent along the</w:t>
      </w:r>
      <w:r>
        <w:rPr>
          <w:spacing w:val="-11"/>
        </w:rPr>
        <w:t xml:space="preserve"> </w:t>
      </w:r>
      <w:r>
        <w:t>continuum.</w:t>
      </w:r>
    </w:p>
    <w:p w14:paraId="4C77BCF9" w14:textId="77777777" w:rsidR="008809F3" w:rsidRDefault="008809F3">
      <w:pPr>
        <w:pStyle w:val="BodyText"/>
        <w:rPr>
          <w:sz w:val="20"/>
        </w:rPr>
      </w:pPr>
    </w:p>
    <w:p w14:paraId="28998356" w14:textId="77777777" w:rsidR="008809F3" w:rsidRDefault="008809F3">
      <w:pPr>
        <w:pStyle w:val="BodyText"/>
        <w:spacing w:before="9"/>
        <w:rPr>
          <w:sz w:val="24"/>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431"/>
        <w:gridCol w:w="2520"/>
        <w:gridCol w:w="2425"/>
      </w:tblGrid>
      <w:tr w:rsidR="008809F3" w14:paraId="35388386" w14:textId="77777777">
        <w:trPr>
          <w:trHeight w:val="770"/>
        </w:trPr>
        <w:tc>
          <w:tcPr>
            <w:tcW w:w="10071" w:type="dxa"/>
            <w:gridSpan w:val="4"/>
          </w:tcPr>
          <w:p w14:paraId="24503CC8" w14:textId="77777777" w:rsidR="008809F3" w:rsidRDefault="000E0F0C">
            <w:pPr>
              <w:pStyle w:val="TableParagraph"/>
              <w:spacing w:before="61"/>
              <w:ind w:left="108"/>
            </w:pPr>
            <w:r>
              <w:t>Current Superintendent Goal #1</w:t>
            </w:r>
          </w:p>
        </w:tc>
      </w:tr>
      <w:tr w:rsidR="008809F3" w14:paraId="1508D8F4" w14:textId="77777777">
        <w:trPr>
          <w:trHeight w:val="769"/>
        </w:trPr>
        <w:tc>
          <w:tcPr>
            <w:tcW w:w="10071" w:type="dxa"/>
            <w:gridSpan w:val="4"/>
          </w:tcPr>
          <w:p w14:paraId="541A6E5D" w14:textId="77777777" w:rsidR="008809F3" w:rsidRDefault="000E0F0C">
            <w:pPr>
              <w:pStyle w:val="TableParagraph"/>
              <w:spacing w:before="60"/>
              <w:ind w:left="107"/>
            </w:pPr>
            <w:r>
              <w:t>Aligned to Standard(s) #</w:t>
            </w:r>
          </w:p>
        </w:tc>
      </w:tr>
      <w:tr w:rsidR="008809F3" w14:paraId="60AFDE42" w14:textId="77777777">
        <w:trPr>
          <w:trHeight w:val="414"/>
        </w:trPr>
        <w:tc>
          <w:tcPr>
            <w:tcW w:w="2695" w:type="dxa"/>
            <w:tcBorders>
              <w:right w:val="single" w:sz="18" w:space="0" w:color="000000"/>
            </w:tcBorders>
          </w:tcPr>
          <w:p w14:paraId="0F77C317" w14:textId="77777777" w:rsidR="008809F3" w:rsidRDefault="000E0F0C">
            <w:pPr>
              <w:pStyle w:val="TableParagraph"/>
              <w:spacing w:before="60"/>
              <w:ind w:left="101" w:right="76"/>
              <w:jc w:val="center"/>
            </w:pPr>
            <w:r>
              <w:t>Does Not Meet Standard</w:t>
            </w:r>
          </w:p>
        </w:tc>
        <w:tc>
          <w:tcPr>
            <w:tcW w:w="7376" w:type="dxa"/>
            <w:gridSpan w:val="3"/>
            <w:tcBorders>
              <w:left w:val="single" w:sz="18" w:space="0" w:color="000000"/>
            </w:tcBorders>
            <w:shd w:val="clear" w:color="auto" w:fill="D9D9D9"/>
          </w:tcPr>
          <w:p w14:paraId="0083F08C" w14:textId="77777777" w:rsidR="008809F3" w:rsidRDefault="000E0F0C">
            <w:pPr>
              <w:pStyle w:val="TableParagraph"/>
              <w:spacing w:before="60"/>
              <w:ind w:left="2864" w:right="2871"/>
              <w:jc w:val="center"/>
            </w:pPr>
            <w:r>
              <w:t>Meets Standard</w:t>
            </w:r>
          </w:p>
        </w:tc>
      </w:tr>
      <w:tr w:rsidR="008809F3" w14:paraId="2C1D9EBD" w14:textId="77777777">
        <w:trPr>
          <w:trHeight w:val="414"/>
        </w:trPr>
        <w:tc>
          <w:tcPr>
            <w:tcW w:w="2695" w:type="dxa"/>
            <w:tcBorders>
              <w:right w:val="single" w:sz="18" w:space="0" w:color="000000"/>
            </w:tcBorders>
          </w:tcPr>
          <w:p w14:paraId="55EE7B0B" w14:textId="77777777" w:rsidR="008809F3" w:rsidRDefault="000E0F0C">
            <w:pPr>
              <w:pStyle w:val="TableParagraph"/>
              <w:spacing w:before="61"/>
              <w:ind w:left="101" w:right="75"/>
              <w:jc w:val="center"/>
            </w:pPr>
            <w:r>
              <w:t>Ineffective</w:t>
            </w:r>
          </w:p>
        </w:tc>
        <w:tc>
          <w:tcPr>
            <w:tcW w:w="2431" w:type="dxa"/>
            <w:tcBorders>
              <w:left w:val="single" w:sz="18" w:space="0" w:color="000000"/>
            </w:tcBorders>
            <w:shd w:val="clear" w:color="auto" w:fill="D9D9D9"/>
          </w:tcPr>
          <w:p w14:paraId="38F33DF9" w14:textId="77777777" w:rsidR="008809F3" w:rsidRDefault="000E0F0C">
            <w:pPr>
              <w:pStyle w:val="TableParagraph"/>
              <w:spacing w:before="61"/>
              <w:ind w:left="644"/>
            </w:pPr>
            <w:r>
              <w:t>Developing</w:t>
            </w:r>
          </w:p>
        </w:tc>
        <w:tc>
          <w:tcPr>
            <w:tcW w:w="2520" w:type="dxa"/>
            <w:shd w:val="clear" w:color="auto" w:fill="D9D9D9"/>
          </w:tcPr>
          <w:p w14:paraId="669D3F4A" w14:textId="77777777" w:rsidR="008809F3" w:rsidRDefault="000E0F0C">
            <w:pPr>
              <w:pStyle w:val="TableParagraph"/>
              <w:spacing w:before="61"/>
              <w:ind w:left="835"/>
            </w:pPr>
            <w:r>
              <w:t>Effective</w:t>
            </w:r>
          </w:p>
        </w:tc>
        <w:tc>
          <w:tcPr>
            <w:tcW w:w="2425" w:type="dxa"/>
            <w:shd w:val="clear" w:color="auto" w:fill="D9D9D9"/>
          </w:tcPr>
          <w:p w14:paraId="3991DED0" w14:textId="77777777" w:rsidR="008809F3" w:rsidRDefault="000E0F0C">
            <w:pPr>
              <w:pStyle w:val="TableParagraph"/>
              <w:spacing w:before="61"/>
              <w:ind w:left="448"/>
            </w:pPr>
            <w:r>
              <w:t>Highly Effective</w:t>
            </w:r>
          </w:p>
        </w:tc>
      </w:tr>
      <w:tr w:rsidR="008809F3" w14:paraId="79084438" w14:textId="77777777">
        <w:trPr>
          <w:trHeight w:val="2901"/>
        </w:trPr>
        <w:tc>
          <w:tcPr>
            <w:tcW w:w="10071" w:type="dxa"/>
            <w:gridSpan w:val="4"/>
          </w:tcPr>
          <w:p w14:paraId="075F95F3" w14:textId="77777777" w:rsidR="008809F3" w:rsidRDefault="000E0F0C">
            <w:pPr>
              <w:pStyle w:val="TableParagraph"/>
              <w:spacing w:before="61"/>
              <w:ind w:left="107"/>
            </w:pPr>
            <w:r>
              <w:t>Comments:</w:t>
            </w:r>
          </w:p>
        </w:tc>
      </w:tr>
    </w:tbl>
    <w:p w14:paraId="4D2E1A58" w14:textId="77777777" w:rsidR="008809F3" w:rsidRDefault="008809F3">
      <w:pPr>
        <w:sectPr w:rsidR="008809F3">
          <w:pgSz w:w="12240" w:h="15840"/>
          <w:pgMar w:top="1360" w:right="520" w:bottom="280" w:left="520" w:header="720" w:footer="720" w:gutter="0"/>
          <w:cols w:space="720"/>
        </w:sect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431"/>
        <w:gridCol w:w="2520"/>
        <w:gridCol w:w="2425"/>
      </w:tblGrid>
      <w:tr w:rsidR="008809F3" w14:paraId="5A35FC0B" w14:textId="77777777">
        <w:trPr>
          <w:trHeight w:val="769"/>
        </w:trPr>
        <w:tc>
          <w:tcPr>
            <w:tcW w:w="10071" w:type="dxa"/>
            <w:gridSpan w:val="4"/>
          </w:tcPr>
          <w:p w14:paraId="7CB58180" w14:textId="77777777" w:rsidR="008809F3" w:rsidRDefault="000E0F0C">
            <w:pPr>
              <w:pStyle w:val="TableParagraph"/>
              <w:spacing w:before="60"/>
              <w:ind w:left="107"/>
            </w:pPr>
            <w:r>
              <w:lastRenderedPageBreak/>
              <w:t>Current Superintendent Goal #2</w:t>
            </w:r>
          </w:p>
        </w:tc>
      </w:tr>
      <w:tr w:rsidR="008809F3" w14:paraId="48BCEDCB" w14:textId="77777777">
        <w:trPr>
          <w:trHeight w:val="770"/>
        </w:trPr>
        <w:tc>
          <w:tcPr>
            <w:tcW w:w="10071" w:type="dxa"/>
            <w:gridSpan w:val="4"/>
          </w:tcPr>
          <w:p w14:paraId="6413053D" w14:textId="77777777" w:rsidR="008809F3" w:rsidRDefault="000E0F0C">
            <w:pPr>
              <w:pStyle w:val="TableParagraph"/>
              <w:spacing w:before="60"/>
              <w:ind w:left="107"/>
            </w:pPr>
            <w:r>
              <w:t>Aligned to Standard(s) #</w:t>
            </w:r>
          </w:p>
        </w:tc>
      </w:tr>
      <w:tr w:rsidR="008809F3" w14:paraId="2C1A09F0" w14:textId="77777777">
        <w:trPr>
          <w:trHeight w:val="414"/>
        </w:trPr>
        <w:tc>
          <w:tcPr>
            <w:tcW w:w="2695" w:type="dxa"/>
            <w:tcBorders>
              <w:right w:val="single" w:sz="18" w:space="0" w:color="000000"/>
            </w:tcBorders>
          </w:tcPr>
          <w:p w14:paraId="12FB6F86" w14:textId="77777777" w:rsidR="008809F3" w:rsidRDefault="000E0F0C">
            <w:pPr>
              <w:pStyle w:val="TableParagraph"/>
              <w:spacing w:before="60"/>
              <w:ind w:left="101" w:right="76"/>
              <w:jc w:val="center"/>
            </w:pPr>
            <w:r>
              <w:t>Does Not Meet Standard</w:t>
            </w:r>
          </w:p>
        </w:tc>
        <w:tc>
          <w:tcPr>
            <w:tcW w:w="7376" w:type="dxa"/>
            <w:gridSpan w:val="3"/>
            <w:tcBorders>
              <w:left w:val="single" w:sz="18" w:space="0" w:color="000000"/>
            </w:tcBorders>
            <w:shd w:val="clear" w:color="auto" w:fill="D9D9D9"/>
          </w:tcPr>
          <w:p w14:paraId="52F214F0" w14:textId="77777777" w:rsidR="008809F3" w:rsidRDefault="000E0F0C">
            <w:pPr>
              <w:pStyle w:val="TableParagraph"/>
              <w:spacing w:before="60"/>
              <w:ind w:left="2864" w:right="2871"/>
              <w:jc w:val="center"/>
            </w:pPr>
            <w:r>
              <w:t>Meets Standard</w:t>
            </w:r>
          </w:p>
        </w:tc>
      </w:tr>
      <w:tr w:rsidR="008809F3" w14:paraId="7DDC4C38" w14:textId="77777777">
        <w:trPr>
          <w:trHeight w:val="414"/>
        </w:trPr>
        <w:tc>
          <w:tcPr>
            <w:tcW w:w="2695" w:type="dxa"/>
            <w:tcBorders>
              <w:right w:val="single" w:sz="18" w:space="0" w:color="000000"/>
            </w:tcBorders>
          </w:tcPr>
          <w:p w14:paraId="7DFC125A" w14:textId="77777777" w:rsidR="008809F3" w:rsidRDefault="000E0F0C">
            <w:pPr>
              <w:pStyle w:val="TableParagraph"/>
              <w:spacing w:before="60"/>
              <w:ind w:left="101" w:right="75"/>
              <w:jc w:val="center"/>
            </w:pPr>
            <w:r>
              <w:t>Ineffective</w:t>
            </w:r>
          </w:p>
        </w:tc>
        <w:tc>
          <w:tcPr>
            <w:tcW w:w="2431" w:type="dxa"/>
            <w:tcBorders>
              <w:left w:val="single" w:sz="18" w:space="0" w:color="000000"/>
            </w:tcBorders>
            <w:shd w:val="clear" w:color="auto" w:fill="D9D9D9"/>
          </w:tcPr>
          <w:p w14:paraId="4A59028D" w14:textId="77777777" w:rsidR="008809F3" w:rsidRDefault="000E0F0C">
            <w:pPr>
              <w:pStyle w:val="TableParagraph"/>
              <w:spacing w:before="60"/>
              <w:ind w:left="644"/>
            </w:pPr>
            <w:r>
              <w:t>Developing</w:t>
            </w:r>
          </w:p>
        </w:tc>
        <w:tc>
          <w:tcPr>
            <w:tcW w:w="2520" w:type="dxa"/>
            <w:shd w:val="clear" w:color="auto" w:fill="D9D9D9"/>
          </w:tcPr>
          <w:p w14:paraId="53C3BECD" w14:textId="77777777" w:rsidR="008809F3" w:rsidRDefault="000E0F0C">
            <w:pPr>
              <w:pStyle w:val="TableParagraph"/>
              <w:spacing w:before="60"/>
              <w:ind w:left="835"/>
            </w:pPr>
            <w:r>
              <w:t>Effective</w:t>
            </w:r>
          </w:p>
        </w:tc>
        <w:tc>
          <w:tcPr>
            <w:tcW w:w="2425" w:type="dxa"/>
            <w:shd w:val="clear" w:color="auto" w:fill="D9D9D9"/>
          </w:tcPr>
          <w:p w14:paraId="177BA7AD" w14:textId="77777777" w:rsidR="008809F3" w:rsidRDefault="000E0F0C">
            <w:pPr>
              <w:pStyle w:val="TableParagraph"/>
              <w:spacing w:before="60"/>
              <w:ind w:left="448"/>
            </w:pPr>
            <w:r>
              <w:t>Highly Effective</w:t>
            </w:r>
          </w:p>
        </w:tc>
      </w:tr>
      <w:tr w:rsidR="008809F3" w14:paraId="48A1EEE1" w14:textId="77777777">
        <w:trPr>
          <w:trHeight w:val="2901"/>
        </w:trPr>
        <w:tc>
          <w:tcPr>
            <w:tcW w:w="10071" w:type="dxa"/>
            <w:gridSpan w:val="4"/>
          </w:tcPr>
          <w:p w14:paraId="0764FF47" w14:textId="77777777" w:rsidR="008809F3" w:rsidRDefault="000E0F0C">
            <w:pPr>
              <w:pStyle w:val="TableParagraph"/>
              <w:spacing w:before="61"/>
              <w:ind w:left="107"/>
            </w:pPr>
            <w:r>
              <w:t>Comments:</w:t>
            </w:r>
          </w:p>
        </w:tc>
      </w:tr>
    </w:tbl>
    <w:p w14:paraId="07560E66" w14:textId="77777777" w:rsidR="008809F3" w:rsidRDefault="008809F3">
      <w:pPr>
        <w:pStyle w:val="BodyText"/>
        <w:rPr>
          <w:sz w:val="20"/>
        </w:rPr>
      </w:pPr>
    </w:p>
    <w:p w14:paraId="0B731EAC" w14:textId="77777777" w:rsidR="008809F3" w:rsidRDefault="008809F3">
      <w:pPr>
        <w:pStyle w:val="BodyText"/>
        <w:rPr>
          <w:sz w:val="20"/>
        </w:rPr>
      </w:pPr>
    </w:p>
    <w:p w14:paraId="5A6C6820" w14:textId="77777777" w:rsidR="008809F3" w:rsidRDefault="008809F3">
      <w:pPr>
        <w:pStyle w:val="BodyText"/>
        <w:rPr>
          <w:sz w:val="20"/>
        </w:rPr>
      </w:pPr>
    </w:p>
    <w:p w14:paraId="0BE383F2" w14:textId="77777777" w:rsidR="008809F3" w:rsidRDefault="008809F3">
      <w:pPr>
        <w:pStyle w:val="BodyText"/>
        <w:spacing w:before="4"/>
        <w:rPr>
          <w:sz w:val="21"/>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431"/>
        <w:gridCol w:w="2520"/>
        <w:gridCol w:w="2425"/>
      </w:tblGrid>
      <w:tr w:rsidR="008809F3" w14:paraId="4C837182" w14:textId="77777777">
        <w:trPr>
          <w:trHeight w:val="770"/>
        </w:trPr>
        <w:tc>
          <w:tcPr>
            <w:tcW w:w="10071" w:type="dxa"/>
            <w:gridSpan w:val="4"/>
          </w:tcPr>
          <w:p w14:paraId="3249991B" w14:textId="77777777" w:rsidR="008809F3" w:rsidRDefault="000E0F0C">
            <w:pPr>
              <w:pStyle w:val="TableParagraph"/>
              <w:spacing w:before="61"/>
              <w:ind w:left="107"/>
            </w:pPr>
            <w:r>
              <w:t>Current Superintendent Goal #3</w:t>
            </w:r>
          </w:p>
        </w:tc>
      </w:tr>
      <w:tr w:rsidR="008809F3" w14:paraId="2CE7F08D" w14:textId="77777777">
        <w:trPr>
          <w:trHeight w:val="769"/>
        </w:trPr>
        <w:tc>
          <w:tcPr>
            <w:tcW w:w="10071" w:type="dxa"/>
            <w:gridSpan w:val="4"/>
          </w:tcPr>
          <w:p w14:paraId="69A653C1" w14:textId="77777777" w:rsidR="008809F3" w:rsidRDefault="000E0F0C">
            <w:pPr>
              <w:pStyle w:val="TableParagraph"/>
              <w:spacing w:before="61"/>
              <w:ind w:left="107"/>
            </w:pPr>
            <w:r>
              <w:t>Aligned to Standard(s) #</w:t>
            </w:r>
          </w:p>
        </w:tc>
      </w:tr>
      <w:tr w:rsidR="008809F3" w14:paraId="433E8619" w14:textId="77777777">
        <w:trPr>
          <w:trHeight w:val="414"/>
        </w:trPr>
        <w:tc>
          <w:tcPr>
            <w:tcW w:w="2695" w:type="dxa"/>
            <w:tcBorders>
              <w:right w:val="single" w:sz="18" w:space="0" w:color="000000"/>
            </w:tcBorders>
          </w:tcPr>
          <w:p w14:paraId="5904181B" w14:textId="77777777" w:rsidR="008809F3" w:rsidRDefault="000E0F0C">
            <w:pPr>
              <w:pStyle w:val="TableParagraph"/>
              <w:spacing w:before="61"/>
              <w:ind w:left="101" w:right="76"/>
              <w:jc w:val="center"/>
            </w:pPr>
            <w:r>
              <w:t>Does Not Meet Standard</w:t>
            </w:r>
          </w:p>
        </w:tc>
        <w:tc>
          <w:tcPr>
            <w:tcW w:w="7376" w:type="dxa"/>
            <w:gridSpan w:val="3"/>
            <w:tcBorders>
              <w:left w:val="single" w:sz="18" w:space="0" w:color="000000"/>
            </w:tcBorders>
            <w:shd w:val="clear" w:color="auto" w:fill="D9D9D9"/>
          </w:tcPr>
          <w:p w14:paraId="0D1D9735" w14:textId="77777777" w:rsidR="008809F3" w:rsidRDefault="000E0F0C">
            <w:pPr>
              <w:pStyle w:val="TableParagraph"/>
              <w:spacing w:before="61"/>
              <w:ind w:left="2864" w:right="2871"/>
              <w:jc w:val="center"/>
            </w:pPr>
            <w:r>
              <w:t>Meets Standard</w:t>
            </w:r>
          </w:p>
        </w:tc>
      </w:tr>
      <w:tr w:rsidR="008809F3" w14:paraId="5A13C02C" w14:textId="77777777">
        <w:trPr>
          <w:trHeight w:val="416"/>
        </w:trPr>
        <w:tc>
          <w:tcPr>
            <w:tcW w:w="2695" w:type="dxa"/>
            <w:tcBorders>
              <w:right w:val="single" w:sz="18" w:space="0" w:color="000000"/>
            </w:tcBorders>
          </w:tcPr>
          <w:p w14:paraId="50AB4F9D" w14:textId="77777777" w:rsidR="008809F3" w:rsidRDefault="000E0F0C">
            <w:pPr>
              <w:pStyle w:val="TableParagraph"/>
              <w:spacing w:before="61"/>
              <w:ind w:left="101" w:right="75"/>
              <w:jc w:val="center"/>
            </w:pPr>
            <w:r>
              <w:t>Ineffective</w:t>
            </w:r>
          </w:p>
        </w:tc>
        <w:tc>
          <w:tcPr>
            <w:tcW w:w="2431" w:type="dxa"/>
            <w:tcBorders>
              <w:left w:val="single" w:sz="18" w:space="0" w:color="000000"/>
            </w:tcBorders>
            <w:shd w:val="clear" w:color="auto" w:fill="D9D9D9"/>
          </w:tcPr>
          <w:p w14:paraId="571A0E67" w14:textId="77777777" w:rsidR="008809F3" w:rsidRDefault="000E0F0C">
            <w:pPr>
              <w:pStyle w:val="TableParagraph"/>
              <w:spacing w:before="61"/>
              <w:ind w:left="644"/>
            </w:pPr>
            <w:r>
              <w:t>Developing</w:t>
            </w:r>
          </w:p>
        </w:tc>
        <w:tc>
          <w:tcPr>
            <w:tcW w:w="2520" w:type="dxa"/>
            <w:shd w:val="clear" w:color="auto" w:fill="D9D9D9"/>
          </w:tcPr>
          <w:p w14:paraId="1DA7737D" w14:textId="77777777" w:rsidR="008809F3" w:rsidRDefault="000E0F0C">
            <w:pPr>
              <w:pStyle w:val="TableParagraph"/>
              <w:spacing w:before="61"/>
              <w:ind w:left="835"/>
            </w:pPr>
            <w:r>
              <w:t>Effective</w:t>
            </w:r>
          </w:p>
        </w:tc>
        <w:tc>
          <w:tcPr>
            <w:tcW w:w="2425" w:type="dxa"/>
            <w:shd w:val="clear" w:color="auto" w:fill="D9D9D9"/>
          </w:tcPr>
          <w:p w14:paraId="3C0655BB" w14:textId="77777777" w:rsidR="008809F3" w:rsidRDefault="000E0F0C">
            <w:pPr>
              <w:pStyle w:val="TableParagraph"/>
              <w:spacing w:before="61"/>
              <w:ind w:left="448"/>
            </w:pPr>
            <w:r>
              <w:t>Highly Effective</w:t>
            </w:r>
          </w:p>
        </w:tc>
      </w:tr>
      <w:tr w:rsidR="008809F3" w14:paraId="642FC735" w14:textId="77777777">
        <w:trPr>
          <w:trHeight w:val="2900"/>
        </w:trPr>
        <w:tc>
          <w:tcPr>
            <w:tcW w:w="10071" w:type="dxa"/>
            <w:gridSpan w:val="4"/>
          </w:tcPr>
          <w:p w14:paraId="42C03EA3" w14:textId="77777777" w:rsidR="008809F3" w:rsidRDefault="000E0F0C">
            <w:pPr>
              <w:pStyle w:val="TableParagraph"/>
              <w:spacing w:before="60"/>
              <w:ind w:left="107"/>
            </w:pPr>
            <w:r>
              <w:t>Comments:</w:t>
            </w:r>
          </w:p>
        </w:tc>
      </w:tr>
    </w:tbl>
    <w:p w14:paraId="17FA2DD9" w14:textId="77777777" w:rsidR="008809F3" w:rsidRDefault="008809F3">
      <w:pPr>
        <w:sectPr w:rsidR="008809F3">
          <w:pgSz w:w="12240" w:h="15840"/>
          <w:pgMar w:top="1440" w:right="520" w:bottom="280" w:left="520" w:header="720" w:footer="720" w:gutter="0"/>
          <w:cols w:space="720"/>
        </w:sectPr>
      </w:pPr>
    </w:p>
    <w:p w14:paraId="73BD9F64" w14:textId="77777777" w:rsidR="008809F3" w:rsidRPr="00B7209F" w:rsidRDefault="000E0F0C">
      <w:pPr>
        <w:pStyle w:val="Heading1"/>
        <w:spacing w:before="84"/>
        <w:rPr>
          <w:rFonts w:ascii="HelveticaNeueLT Std Med Cn" w:hAnsi="HelveticaNeueLT Std Med Cn"/>
        </w:rPr>
      </w:pPr>
      <w:bookmarkStart w:id="5" w:name="Phase_3:_Affirm_Superintendent_Goals_for"/>
      <w:bookmarkEnd w:id="5"/>
      <w:r w:rsidRPr="00B7209F">
        <w:rPr>
          <w:rFonts w:ascii="HelveticaNeueLT Std Med Cn" w:hAnsi="HelveticaNeueLT Std Med Cn"/>
          <w:color w:val="005293"/>
          <w:w w:val="95"/>
        </w:rPr>
        <w:lastRenderedPageBreak/>
        <w:t>Phase</w:t>
      </w:r>
      <w:r w:rsidR="00B7209F">
        <w:rPr>
          <w:rFonts w:ascii="HelveticaNeueLT Std Med Cn" w:hAnsi="HelveticaNeueLT Std Med Cn"/>
          <w:color w:val="005293"/>
          <w:w w:val="95"/>
        </w:rPr>
        <w:t xml:space="preserve"> 3</w:t>
      </w:r>
      <w:r w:rsidRPr="00B7209F">
        <w:rPr>
          <w:rFonts w:ascii="HelveticaNeueLT Std Med Cn" w:hAnsi="HelveticaNeueLT Std Med Cn"/>
          <w:color w:val="005293"/>
          <w:w w:val="95"/>
        </w:rPr>
        <w:t>: Affirm Superintendent Goals for the Next Year</w:t>
      </w:r>
    </w:p>
    <w:p w14:paraId="4C98BD0F" w14:textId="77777777" w:rsidR="008809F3" w:rsidRDefault="000E0F0C">
      <w:pPr>
        <w:pStyle w:val="BodyText"/>
        <w:spacing w:before="142" w:line="276" w:lineRule="auto"/>
        <w:ind w:left="559" w:right="568"/>
      </w:pPr>
      <w:r>
        <w:t>The year-end conference is an opportune time to affirm superintendent goals for the coming year. This provides time for the board and superintendent to clarify the mission and long-range plans for the district.</w:t>
      </w:r>
    </w:p>
    <w:p w14:paraId="1A99BA80" w14:textId="77777777" w:rsidR="008809F3" w:rsidRDefault="000E0F0C">
      <w:pPr>
        <w:pStyle w:val="BodyText"/>
        <w:spacing w:before="140"/>
        <w:ind w:left="559"/>
      </w:pPr>
      <w:r>
        <w:t>The following considerations can guide the process:</w:t>
      </w:r>
    </w:p>
    <w:p w14:paraId="16947002" w14:textId="77777777" w:rsidR="008809F3" w:rsidRDefault="000E0F0C">
      <w:pPr>
        <w:pStyle w:val="ListParagraph"/>
        <w:numPr>
          <w:ilvl w:val="0"/>
          <w:numId w:val="1"/>
        </w:numPr>
        <w:tabs>
          <w:tab w:val="left" w:pos="1190"/>
        </w:tabs>
        <w:spacing w:line="273" w:lineRule="auto"/>
        <w:ind w:left="1189" w:right="1597" w:hanging="270"/>
      </w:pPr>
      <w:r>
        <w:t>The board and superintendent should discuss and agree upon areas of growth for the superintendent.</w:t>
      </w:r>
    </w:p>
    <w:p w14:paraId="5799B658" w14:textId="77777777" w:rsidR="008809F3" w:rsidRDefault="000E0F0C">
      <w:pPr>
        <w:pStyle w:val="ListParagraph"/>
        <w:numPr>
          <w:ilvl w:val="0"/>
          <w:numId w:val="1"/>
        </w:numPr>
        <w:tabs>
          <w:tab w:val="left" w:pos="1190"/>
        </w:tabs>
        <w:spacing w:before="142" w:line="273" w:lineRule="auto"/>
        <w:ind w:left="1189" w:right="1093" w:hanging="270"/>
      </w:pPr>
      <w:r>
        <w:t>Goals reflect district priority areas of work that may take multiple years to achieve. Specific goals may be continued from the previous</w:t>
      </w:r>
      <w:r>
        <w:rPr>
          <w:spacing w:val="-5"/>
        </w:rPr>
        <w:t xml:space="preserve"> </w:t>
      </w:r>
      <w:r>
        <w:t>year.</w:t>
      </w:r>
    </w:p>
    <w:p w14:paraId="3EF541F5" w14:textId="77777777" w:rsidR="008809F3" w:rsidRDefault="000E0F0C">
      <w:pPr>
        <w:pStyle w:val="ListParagraph"/>
        <w:numPr>
          <w:ilvl w:val="0"/>
          <w:numId w:val="1"/>
        </w:numPr>
        <w:tabs>
          <w:tab w:val="left" w:pos="1190"/>
        </w:tabs>
        <w:spacing w:before="142" w:line="273" w:lineRule="auto"/>
        <w:ind w:left="1190" w:right="942" w:hanging="271"/>
      </w:pPr>
      <w:r>
        <w:t>Ask, ‘What does successful completion of each goal look like?’ Include specific measures</w:t>
      </w:r>
      <w:r>
        <w:rPr>
          <w:spacing w:val="-44"/>
        </w:rPr>
        <w:t xml:space="preserve"> </w:t>
      </w:r>
      <w:r>
        <w:t>to provide agreement and clarity for the board and the</w:t>
      </w:r>
      <w:r>
        <w:rPr>
          <w:spacing w:val="-8"/>
        </w:rPr>
        <w:t xml:space="preserve"> </w:t>
      </w:r>
      <w:r>
        <w:t>superintendent.</w:t>
      </w:r>
    </w:p>
    <w:p w14:paraId="61F034BC" w14:textId="77777777" w:rsidR="008809F3" w:rsidRDefault="000E0F0C">
      <w:pPr>
        <w:pStyle w:val="ListParagraph"/>
        <w:numPr>
          <w:ilvl w:val="0"/>
          <w:numId w:val="1"/>
        </w:numPr>
        <w:tabs>
          <w:tab w:val="left" w:pos="1190"/>
        </w:tabs>
        <w:spacing w:before="141" w:line="273" w:lineRule="auto"/>
        <w:ind w:left="1189" w:right="868" w:hanging="270"/>
        <w:jc w:val="both"/>
      </w:pPr>
      <w:r>
        <w:t>Map out an evaluation timeline for the following year. The process should include quarterly or mid-year progress update relative to the superintendent goals and standards aligned to each goal.</w:t>
      </w:r>
    </w:p>
    <w:p w14:paraId="5723FD3E" w14:textId="77777777" w:rsidR="008809F3" w:rsidRDefault="008809F3">
      <w:pPr>
        <w:pStyle w:val="BodyText"/>
        <w:rPr>
          <w:sz w:val="20"/>
        </w:rPr>
      </w:pPr>
    </w:p>
    <w:p w14:paraId="1AB71169" w14:textId="77777777" w:rsidR="008809F3" w:rsidRDefault="008809F3">
      <w:pPr>
        <w:pStyle w:val="BodyText"/>
        <w:spacing w:before="2"/>
        <w:rPr>
          <w:sz w:val="21"/>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70"/>
      </w:tblGrid>
      <w:tr w:rsidR="008809F3" w14:paraId="00A909FE" w14:textId="77777777">
        <w:trPr>
          <w:trHeight w:val="693"/>
        </w:trPr>
        <w:tc>
          <w:tcPr>
            <w:tcW w:w="10070" w:type="dxa"/>
          </w:tcPr>
          <w:p w14:paraId="7C23B378" w14:textId="77777777" w:rsidR="008809F3" w:rsidRDefault="000E0F0C">
            <w:pPr>
              <w:pStyle w:val="TableParagraph"/>
              <w:spacing w:before="60"/>
              <w:ind w:left="107"/>
            </w:pPr>
            <w:r>
              <w:t>Goal #1</w:t>
            </w:r>
          </w:p>
        </w:tc>
      </w:tr>
      <w:tr w:rsidR="008809F3" w14:paraId="0E36F06D" w14:textId="77777777">
        <w:trPr>
          <w:trHeight w:val="693"/>
        </w:trPr>
        <w:tc>
          <w:tcPr>
            <w:tcW w:w="10070" w:type="dxa"/>
          </w:tcPr>
          <w:p w14:paraId="6FF11170" w14:textId="77777777" w:rsidR="008809F3" w:rsidRDefault="000E0F0C">
            <w:pPr>
              <w:pStyle w:val="TableParagraph"/>
              <w:spacing w:before="60"/>
              <w:ind w:left="107"/>
            </w:pPr>
            <w:r>
              <w:t>Aligned to Standard(s) #</w:t>
            </w:r>
          </w:p>
        </w:tc>
      </w:tr>
      <w:tr w:rsidR="008809F3" w14:paraId="0B476AF5" w14:textId="77777777">
        <w:trPr>
          <w:trHeight w:val="693"/>
        </w:trPr>
        <w:tc>
          <w:tcPr>
            <w:tcW w:w="10070" w:type="dxa"/>
          </w:tcPr>
          <w:p w14:paraId="6CB2327A" w14:textId="77777777" w:rsidR="008809F3" w:rsidRDefault="000E0F0C">
            <w:pPr>
              <w:pStyle w:val="TableParagraph"/>
              <w:spacing w:before="60"/>
              <w:ind w:left="107"/>
            </w:pPr>
            <w:r>
              <w:t>Comments:</w:t>
            </w:r>
          </w:p>
        </w:tc>
      </w:tr>
    </w:tbl>
    <w:p w14:paraId="4DDEFD90" w14:textId="77777777" w:rsidR="008809F3" w:rsidRDefault="008809F3">
      <w:pPr>
        <w:pStyle w:val="BodyText"/>
        <w:rPr>
          <w:sz w:val="20"/>
        </w:rPr>
      </w:pPr>
    </w:p>
    <w:p w14:paraId="7EB25EDE" w14:textId="77777777" w:rsidR="008809F3" w:rsidRDefault="008809F3">
      <w:pPr>
        <w:pStyle w:val="BodyText"/>
        <w:spacing w:before="8"/>
        <w:rPr>
          <w:sz w:val="20"/>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70"/>
      </w:tblGrid>
      <w:tr w:rsidR="008809F3" w14:paraId="21A0604F" w14:textId="77777777">
        <w:trPr>
          <w:trHeight w:val="693"/>
        </w:trPr>
        <w:tc>
          <w:tcPr>
            <w:tcW w:w="10070" w:type="dxa"/>
          </w:tcPr>
          <w:p w14:paraId="1BEE5786" w14:textId="77777777" w:rsidR="008809F3" w:rsidRDefault="000E0F0C">
            <w:pPr>
              <w:pStyle w:val="TableParagraph"/>
              <w:spacing w:before="60"/>
              <w:ind w:left="107"/>
            </w:pPr>
            <w:r>
              <w:t>Goal #2</w:t>
            </w:r>
          </w:p>
        </w:tc>
      </w:tr>
      <w:tr w:rsidR="008809F3" w14:paraId="0A5B3770" w14:textId="77777777">
        <w:trPr>
          <w:trHeight w:val="692"/>
        </w:trPr>
        <w:tc>
          <w:tcPr>
            <w:tcW w:w="10070" w:type="dxa"/>
          </w:tcPr>
          <w:p w14:paraId="209B8C1F" w14:textId="77777777" w:rsidR="008809F3" w:rsidRDefault="000E0F0C">
            <w:pPr>
              <w:pStyle w:val="TableParagraph"/>
              <w:spacing w:before="60"/>
              <w:ind w:left="107"/>
            </w:pPr>
            <w:r>
              <w:t>Aligned to Standard(s) #</w:t>
            </w:r>
          </w:p>
        </w:tc>
      </w:tr>
      <w:tr w:rsidR="008809F3" w14:paraId="594A6255" w14:textId="77777777">
        <w:trPr>
          <w:trHeight w:val="694"/>
        </w:trPr>
        <w:tc>
          <w:tcPr>
            <w:tcW w:w="10070" w:type="dxa"/>
          </w:tcPr>
          <w:p w14:paraId="686A83AD" w14:textId="77777777" w:rsidR="008809F3" w:rsidRDefault="000E0F0C">
            <w:pPr>
              <w:pStyle w:val="TableParagraph"/>
              <w:spacing w:before="61"/>
              <w:ind w:left="107"/>
            </w:pPr>
            <w:r>
              <w:t>Comments:</w:t>
            </w:r>
          </w:p>
        </w:tc>
      </w:tr>
    </w:tbl>
    <w:p w14:paraId="15AB3298" w14:textId="77777777" w:rsidR="008809F3" w:rsidRDefault="008809F3">
      <w:pPr>
        <w:pStyle w:val="BodyText"/>
        <w:rPr>
          <w:sz w:val="20"/>
        </w:rPr>
      </w:pPr>
    </w:p>
    <w:p w14:paraId="63C0B148" w14:textId="77777777" w:rsidR="008809F3" w:rsidRDefault="008809F3">
      <w:pPr>
        <w:pStyle w:val="BodyText"/>
        <w:spacing w:before="7"/>
        <w:rPr>
          <w:sz w:val="20"/>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70"/>
      </w:tblGrid>
      <w:tr w:rsidR="008809F3" w14:paraId="1AB0C444" w14:textId="77777777">
        <w:trPr>
          <w:trHeight w:val="693"/>
        </w:trPr>
        <w:tc>
          <w:tcPr>
            <w:tcW w:w="10070" w:type="dxa"/>
          </w:tcPr>
          <w:p w14:paraId="725DFC9B" w14:textId="77777777" w:rsidR="008809F3" w:rsidRDefault="000E0F0C">
            <w:pPr>
              <w:pStyle w:val="TableParagraph"/>
              <w:spacing w:before="61"/>
              <w:ind w:left="107"/>
            </w:pPr>
            <w:r>
              <w:t>Goal #3</w:t>
            </w:r>
          </w:p>
        </w:tc>
      </w:tr>
      <w:tr w:rsidR="008809F3" w14:paraId="0BAE97E2" w14:textId="77777777">
        <w:trPr>
          <w:trHeight w:val="693"/>
        </w:trPr>
        <w:tc>
          <w:tcPr>
            <w:tcW w:w="10070" w:type="dxa"/>
          </w:tcPr>
          <w:p w14:paraId="0A662538" w14:textId="77777777" w:rsidR="008809F3" w:rsidRDefault="000E0F0C">
            <w:pPr>
              <w:pStyle w:val="TableParagraph"/>
              <w:spacing w:before="61"/>
              <w:ind w:left="107"/>
            </w:pPr>
            <w:r>
              <w:t>Aligned to Standard(s) #</w:t>
            </w:r>
          </w:p>
        </w:tc>
      </w:tr>
      <w:tr w:rsidR="008809F3" w14:paraId="20D827C8" w14:textId="77777777">
        <w:trPr>
          <w:trHeight w:val="693"/>
        </w:trPr>
        <w:tc>
          <w:tcPr>
            <w:tcW w:w="10070" w:type="dxa"/>
          </w:tcPr>
          <w:p w14:paraId="440577F7" w14:textId="77777777" w:rsidR="008809F3" w:rsidRDefault="000E0F0C">
            <w:pPr>
              <w:pStyle w:val="TableParagraph"/>
              <w:spacing w:before="61"/>
              <w:ind w:left="107"/>
            </w:pPr>
            <w:r>
              <w:t>Comments:</w:t>
            </w:r>
          </w:p>
        </w:tc>
      </w:tr>
    </w:tbl>
    <w:p w14:paraId="1F7AF076" w14:textId="77777777" w:rsidR="008809F3" w:rsidRDefault="008809F3">
      <w:pPr>
        <w:sectPr w:rsidR="008809F3">
          <w:pgSz w:w="12240" w:h="15840"/>
          <w:pgMar w:top="1360" w:right="520" w:bottom="280" w:left="520" w:header="720" w:footer="720" w:gutter="0"/>
          <w:cols w:space="720"/>
        </w:sectPr>
      </w:pPr>
    </w:p>
    <w:p w14:paraId="4A679950" w14:textId="77777777" w:rsidR="008809F3" w:rsidRPr="00B7209F" w:rsidRDefault="000E0F0C">
      <w:pPr>
        <w:pStyle w:val="Heading1"/>
        <w:rPr>
          <w:rFonts w:ascii="HelveticaNeueLT Std Med Cn" w:hAnsi="HelveticaNeueLT Std Med Cn"/>
        </w:rPr>
      </w:pPr>
      <w:bookmarkStart w:id="6" w:name="Remediation_Target_(If_applicable)"/>
      <w:bookmarkEnd w:id="6"/>
      <w:r w:rsidRPr="00B7209F">
        <w:rPr>
          <w:rFonts w:ascii="HelveticaNeueLT Std Med Cn" w:hAnsi="HelveticaNeueLT Std Med Cn"/>
          <w:w w:val="95"/>
        </w:rPr>
        <w:lastRenderedPageBreak/>
        <w:t>Remediation Target (If applicable)</w:t>
      </w:r>
    </w:p>
    <w:p w14:paraId="03715F9E" w14:textId="77777777" w:rsidR="008809F3" w:rsidRDefault="008809F3">
      <w:pPr>
        <w:pStyle w:val="BodyText"/>
        <w:rPr>
          <w:rFonts w:ascii="Arial"/>
          <w:sz w:val="20"/>
        </w:rPr>
      </w:pPr>
    </w:p>
    <w:p w14:paraId="2F6DE3CD" w14:textId="77777777" w:rsidR="008809F3" w:rsidRDefault="008809F3">
      <w:pPr>
        <w:pStyle w:val="BodyText"/>
        <w:spacing w:before="5" w:after="1"/>
        <w:rPr>
          <w:rFonts w:ascii="Arial"/>
          <w:sz w:val="21"/>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5"/>
        <w:gridCol w:w="2014"/>
        <w:gridCol w:w="2014"/>
        <w:gridCol w:w="2015"/>
        <w:gridCol w:w="2014"/>
      </w:tblGrid>
      <w:tr w:rsidR="008809F3" w14:paraId="08C60597" w14:textId="77777777">
        <w:trPr>
          <w:trHeight w:val="1085"/>
        </w:trPr>
        <w:tc>
          <w:tcPr>
            <w:tcW w:w="2015" w:type="dxa"/>
          </w:tcPr>
          <w:p w14:paraId="25C8FA2E" w14:textId="77777777" w:rsidR="008809F3" w:rsidRDefault="000E0F0C">
            <w:pPr>
              <w:pStyle w:val="TableParagraph"/>
              <w:spacing w:before="60" w:line="276" w:lineRule="auto"/>
              <w:ind w:left="372" w:right="203" w:hanging="143"/>
              <w:rPr>
                <w:b/>
              </w:rPr>
            </w:pPr>
            <w:r>
              <w:rPr>
                <w:b/>
              </w:rPr>
              <w:t>Standard to be Remediated</w:t>
            </w:r>
          </w:p>
        </w:tc>
        <w:tc>
          <w:tcPr>
            <w:tcW w:w="2014" w:type="dxa"/>
          </w:tcPr>
          <w:p w14:paraId="2A326DDC" w14:textId="77777777" w:rsidR="008809F3" w:rsidRDefault="000E0F0C">
            <w:pPr>
              <w:pStyle w:val="TableParagraph"/>
              <w:spacing w:before="60" w:line="276" w:lineRule="auto"/>
              <w:ind w:left="663" w:hanging="322"/>
              <w:rPr>
                <w:b/>
              </w:rPr>
            </w:pPr>
            <w:r>
              <w:rPr>
                <w:b/>
                <w:w w:val="95"/>
              </w:rPr>
              <w:t xml:space="preserve">Remediation </w:t>
            </w:r>
            <w:r>
              <w:rPr>
                <w:b/>
              </w:rPr>
              <w:t>Target</w:t>
            </w:r>
          </w:p>
        </w:tc>
        <w:tc>
          <w:tcPr>
            <w:tcW w:w="2014" w:type="dxa"/>
          </w:tcPr>
          <w:p w14:paraId="6BAD5EC5" w14:textId="77777777" w:rsidR="008809F3" w:rsidRDefault="000E0F0C">
            <w:pPr>
              <w:pStyle w:val="TableParagraph"/>
              <w:spacing w:before="60"/>
              <w:ind w:left="337"/>
              <w:rPr>
                <w:b/>
              </w:rPr>
            </w:pPr>
            <w:r>
              <w:rPr>
                <w:b/>
              </w:rPr>
              <w:t>Action Steps</w:t>
            </w:r>
          </w:p>
        </w:tc>
        <w:tc>
          <w:tcPr>
            <w:tcW w:w="2015" w:type="dxa"/>
          </w:tcPr>
          <w:p w14:paraId="7519A133" w14:textId="77777777" w:rsidR="008809F3" w:rsidRDefault="000E0F0C">
            <w:pPr>
              <w:pStyle w:val="TableParagraph"/>
              <w:spacing w:before="60" w:line="276" w:lineRule="auto"/>
              <w:ind w:left="530" w:right="366" w:hanging="138"/>
              <w:rPr>
                <w:b/>
              </w:rPr>
            </w:pPr>
            <w:r>
              <w:rPr>
                <w:b/>
              </w:rPr>
              <w:t>Evidence of Progress</w:t>
            </w:r>
          </w:p>
        </w:tc>
        <w:tc>
          <w:tcPr>
            <w:tcW w:w="2014" w:type="dxa"/>
          </w:tcPr>
          <w:p w14:paraId="734A289F" w14:textId="77777777" w:rsidR="008809F3" w:rsidRDefault="000E0F0C">
            <w:pPr>
              <w:pStyle w:val="TableParagraph"/>
              <w:spacing w:before="60"/>
              <w:ind w:left="131"/>
              <w:rPr>
                <w:b/>
              </w:rPr>
            </w:pPr>
            <w:r>
              <w:rPr>
                <w:b/>
              </w:rPr>
              <w:t>Summary Rating</w:t>
            </w:r>
          </w:p>
          <w:p w14:paraId="7F0548C7" w14:textId="77777777" w:rsidR="008809F3" w:rsidRDefault="000E0F0C">
            <w:pPr>
              <w:pStyle w:val="TableParagraph"/>
              <w:spacing w:before="100" w:line="276" w:lineRule="auto"/>
              <w:ind w:left="706" w:right="94" w:hanging="589"/>
              <w:rPr>
                <w:b/>
              </w:rPr>
            </w:pPr>
            <w:r>
              <w:rPr>
                <w:b/>
              </w:rPr>
              <w:t>(Meets/Does Not Meet)</w:t>
            </w:r>
          </w:p>
        </w:tc>
      </w:tr>
      <w:tr w:rsidR="008809F3" w14:paraId="2B10086A" w14:textId="77777777">
        <w:trPr>
          <w:trHeight w:val="3610"/>
        </w:trPr>
        <w:tc>
          <w:tcPr>
            <w:tcW w:w="2015" w:type="dxa"/>
          </w:tcPr>
          <w:p w14:paraId="2FD118BF" w14:textId="77777777" w:rsidR="008809F3" w:rsidRDefault="008809F3">
            <w:pPr>
              <w:pStyle w:val="TableParagraph"/>
              <w:rPr>
                <w:rFonts w:ascii="Times New Roman"/>
                <w:sz w:val="24"/>
              </w:rPr>
            </w:pPr>
          </w:p>
        </w:tc>
        <w:tc>
          <w:tcPr>
            <w:tcW w:w="2014" w:type="dxa"/>
          </w:tcPr>
          <w:p w14:paraId="03AF1548" w14:textId="77777777" w:rsidR="008809F3" w:rsidRDefault="008809F3">
            <w:pPr>
              <w:pStyle w:val="TableParagraph"/>
              <w:rPr>
                <w:rFonts w:ascii="Times New Roman"/>
                <w:sz w:val="24"/>
              </w:rPr>
            </w:pPr>
          </w:p>
        </w:tc>
        <w:tc>
          <w:tcPr>
            <w:tcW w:w="2014" w:type="dxa"/>
          </w:tcPr>
          <w:p w14:paraId="6ED01FFA" w14:textId="77777777" w:rsidR="008809F3" w:rsidRDefault="008809F3">
            <w:pPr>
              <w:pStyle w:val="TableParagraph"/>
              <w:rPr>
                <w:rFonts w:ascii="Times New Roman"/>
                <w:sz w:val="24"/>
              </w:rPr>
            </w:pPr>
          </w:p>
        </w:tc>
        <w:tc>
          <w:tcPr>
            <w:tcW w:w="2015" w:type="dxa"/>
          </w:tcPr>
          <w:p w14:paraId="4167BC32" w14:textId="77777777" w:rsidR="008809F3" w:rsidRDefault="008809F3">
            <w:pPr>
              <w:pStyle w:val="TableParagraph"/>
              <w:rPr>
                <w:rFonts w:ascii="Times New Roman"/>
                <w:sz w:val="24"/>
              </w:rPr>
            </w:pPr>
          </w:p>
        </w:tc>
        <w:tc>
          <w:tcPr>
            <w:tcW w:w="2014" w:type="dxa"/>
          </w:tcPr>
          <w:p w14:paraId="43ABA61A" w14:textId="77777777" w:rsidR="008809F3" w:rsidRDefault="008809F3">
            <w:pPr>
              <w:pStyle w:val="TableParagraph"/>
              <w:rPr>
                <w:rFonts w:ascii="Times New Roman"/>
                <w:sz w:val="24"/>
              </w:rPr>
            </w:pPr>
          </w:p>
        </w:tc>
      </w:tr>
    </w:tbl>
    <w:p w14:paraId="3958EAB4" w14:textId="6911AB0E" w:rsidR="008809F3" w:rsidRDefault="008809F3" w:rsidP="00CF3499">
      <w:pPr>
        <w:spacing w:before="84"/>
        <w:rPr>
          <w:sz w:val="19"/>
        </w:rPr>
      </w:pPr>
    </w:p>
    <w:sectPr w:rsidR="008809F3" w:rsidSect="009D5DA9">
      <w:pgSz w:w="12240" w:h="15840"/>
      <w:pgMar w:top="820" w:right="52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4CAB9" w14:textId="77777777" w:rsidR="00286C41" w:rsidRDefault="00286C41" w:rsidP="00A63B57">
      <w:r>
        <w:separator/>
      </w:r>
    </w:p>
  </w:endnote>
  <w:endnote w:type="continuationSeparator" w:id="0">
    <w:p w14:paraId="7624D0DC" w14:textId="77777777" w:rsidR="00286C41" w:rsidRDefault="00286C41" w:rsidP="00A6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Med Cn">
    <w:panose1 w:val="020B060603050203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1D2A" w14:textId="4A6265F8" w:rsidR="00A63B57" w:rsidRDefault="00A63B57">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A2619" w14:textId="77777777" w:rsidR="00286C41" w:rsidRDefault="00286C41" w:rsidP="00A63B57">
      <w:r>
        <w:separator/>
      </w:r>
    </w:p>
  </w:footnote>
  <w:footnote w:type="continuationSeparator" w:id="0">
    <w:p w14:paraId="1696340B" w14:textId="77777777" w:rsidR="00286C41" w:rsidRDefault="00286C41" w:rsidP="00A63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669E0"/>
    <w:multiLevelType w:val="hybridMultilevel"/>
    <w:tmpl w:val="2C60D48A"/>
    <w:lvl w:ilvl="0" w:tplc="33FC9A6A">
      <w:numFmt w:val="bullet"/>
      <w:lvlText w:val=""/>
      <w:lvlJc w:val="left"/>
      <w:pPr>
        <w:ind w:left="1280" w:hanging="360"/>
      </w:pPr>
      <w:rPr>
        <w:rFonts w:ascii="Symbol" w:eastAsia="Symbol" w:hAnsi="Symbol" w:cs="Symbol" w:hint="default"/>
        <w:w w:val="99"/>
        <w:sz w:val="22"/>
        <w:szCs w:val="22"/>
      </w:rPr>
    </w:lvl>
    <w:lvl w:ilvl="1" w:tplc="59D46CBE">
      <w:numFmt w:val="bullet"/>
      <w:lvlText w:val="•"/>
      <w:lvlJc w:val="left"/>
      <w:pPr>
        <w:ind w:left="2272" w:hanging="360"/>
      </w:pPr>
      <w:rPr>
        <w:rFonts w:hint="default"/>
      </w:rPr>
    </w:lvl>
    <w:lvl w:ilvl="2" w:tplc="54B63ECC">
      <w:numFmt w:val="bullet"/>
      <w:lvlText w:val="•"/>
      <w:lvlJc w:val="left"/>
      <w:pPr>
        <w:ind w:left="3264" w:hanging="360"/>
      </w:pPr>
      <w:rPr>
        <w:rFonts w:hint="default"/>
      </w:rPr>
    </w:lvl>
    <w:lvl w:ilvl="3" w:tplc="A4C6B4C8">
      <w:numFmt w:val="bullet"/>
      <w:lvlText w:val="•"/>
      <w:lvlJc w:val="left"/>
      <w:pPr>
        <w:ind w:left="4256" w:hanging="360"/>
      </w:pPr>
      <w:rPr>
        <w:rFonts w:hint="default"/>
      </w:rPr>
    </w:lvl>
    <w:lvl w:ilvl="4" w:tplc="131C819A">
      <w:numFmt w:val="bullet"/>
      <w:lvlText w:val="•"/>
      <w:lvlJc w:val="left"/>
      <w:pPr>
        <w:ind w:left="5248" w:hanging="360"/>
      </w:pPr>
      <w:rPr>
        <w:rFonts w:hint="default"/>
      </w:rPr>
    </w:lvl>
    <w:lvl w:ilvl="5" w:tplc="8EE20D2E">
      <w:numFmt w:val="bullet"/>
      <w:lvlText w:val="•"/>
      <w:lvlJc w:val="left"/>
      <w:pPr>
        <w:ind w:left="6240" w:hanging="360"/>
      </w:pPr>
      <w:rPr>
        <w:rFonts w:hint="default"/>
      </w:rPr>
    </w:lvl>
    <w:lvl w:ilvl="6" w:tplc="E1D0817C">
      <w:numFmt w:val="bullet"/>
      <w:lvlText w:val="•"/>
      <w:lvlJc w:val="left"/>
      <w:pPr>
        <w:ind w:left="7232" w:hanging="360"/>
      </w:pPr>
      <w:rPr>
        <w:rFonts w:hint="default"/>
      </w:rPr>
    </w:lvl>
    <w:lvl w:ilvl="7" w:tplc="00D8D7E8">
      <w:numFmt w:val="bullet"/>
      <w:lvlText w:val="•"/>
      <w:lvlJc w:val="left"/>
      <w:pPr>
        <w:ind w:left="8224" w:hanging="360"/>
      </w:pPr>
      <w:rPr>
        <w:rFonts w:hint="default"/>
      </w:rPr>
    </w:lvl>
    <w:lvl w:ilvl="8" w:tplc="7EBA297E">
      <w:numFmt w:val="bullet"/>
      <w:lvlText w:val="•"/>
      <w:lvlJc w:val="left"/>
      <w:pPr>
        <w:ind w:left="921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F3"/>
    <w:rsid w:val="000E0F0C"/>
    <w:rsid w:val="00286C41"/>
    <w:rsid w:val="005D1508"/>
    <w:rsid w:val="008809F3"/>
    <w:rsid w:val="00970C5A"/>
    <w:rsid w:val="00997E82"/>
    <w:rsid w:val="009D5DA9"/>
    <w:rsid w:val="009F0603"/>
    <w:rsid w:val="00A63B57"/>
    <w:rsid w:val="00B7209F"/>
    <w:rsid w:val="00CF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E28A16D"/>
  <w15:docId w15:val="{8BEB237B-52BA-4B40-8665-48613EFC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HelveticaNeueLT Std" w:eastAsia="HelveticaNeueLT Std" w:hAnsi="HelveticaNeueLT Std" w:cs="HelveticaNeueLT Std"/>
      <w:sz w:val="22"/>
      <w:szCs w:val="22"/>
    </w:rPr>
  </w:style>
  <w:style w:type="paragraph" w:styleId="Heading1">
    <w:name w:val="heading 1"/>
    <w:basedOn w:val="Normal"/>
    <w:uiPriority w:val="9"/>
    <w:qFormat/>
    <w:pPr>
      <w:spacing w:before="83"/>
      <w:ind w:left="560"/>
      <w:outlineLvl w:val="0"/>
    </w:pPr>
    <w:rPr>
      <w:rFonts w:ascii="Arial" w:eastAsia="Arial" w:hAnsi="Arial" w:cs="Arial"/>
      <w:sz w:val="32"/>
      <w:szCs w:val="32"/>
    </w:rPr>
  </w:style>
  <w:style w:type="paragraph" w:styleId="Heading2">
    <w:name w:val="heading 2"/>
    <w:basedOn w:val="Normal"/>
    <w:uiPriority w:val="9"/>
    <w:unhideWhenUsed/>
    <w:qFormat/>
    <w:pPr>
      <w:spacing w:before="182"/>
      <w:ind w:left="560"/>
      <w:jc w:val="both"/>
      <w:outlineLvl w:val="1"/>
    </w:pPr>
    <w:rPr>
      <w:rFonts w:ascii="Arial" w:eastAsia="Arial" w:hAnsi="Arial" w:cs="Arial"/>
      <w:sz w:val="26"/>
      <w:szCs w:val="26"/>
    </w:rPr>
  </w:style>
  <w:style w:type="paragraph" w:styleId="Heading3">
    <w:name w:val="heading 3"/>
    <w:basedOn w:val="Normal"/>
    <w:uiPriority w:val="9"/>
    <w:unhideWhenUsed/>
    <w:qFormat/>
    <w:pPr>
      <w:spacing w:before="80"/>
      <w:ind w:left="5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78"/>
      <w:ind w:left="1190" w:hanging="2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3B57"/>
    <w:pPr>
      <w:tabs>
        <w:tab w:val="center" w:pos="4680"/>
        <w:tab w:val="right" w:pos="9360"/>
      </w:tabs>
    </w:pPr>
  </w:style>
  <w:style w:type="character" w:customStyle="1" w:styleId="HeaderChar">
    <w:name w:val="Header Char"/>
    <w:link w:val="Header"/>
    <w:uiPriority w:val="99"/>
    <w:rsid w:val="00A63B57"/>
    <w:rPr>
      <w:rFonts w:ascii="HelveticaNeueLT Std" w:eastAsia="HelveticaNeueLT Std" w:hAnsi="HelveticaNeueLT Std" w:cs="HelveticaNeueLT Std"/>
    </w:rPr>
  </w:style>
  <w:style w:type="paragraph" w:styleId="Footer">
    <w:name w:val="footer"/>
    <w:basedOn w:val="Normal"/>
    <w:link w:val="FooterChar"/>
    <w:uiPriority w:val="99"/>
    <w:unhideWhenUsed/>
    <w:rsid w:val="00A63B57"/>
    <w:pPr>
      <w:tabs>
        <w:tab w:val="center" w:pos="4680"/>
        <w:tab w:val="right" w:pos="9360"/>
      </w:tabs>
    </w:pPr>
  </w:style>
  <w:style w:type="character" w:customStyle="1" w:styleId="FooterChar">
    <w:name w:val="Footer Char"/>
    <w:link w:val="Footer"/>
    <w:uiPriority w:val="99"/>
    <w:rsid w:val="00A63B57"/>
    <w:rPr>
      <w:rFonts w:ascii="HelveticaNeueLT Std" w:eastAsia="HelveticaNeueLT Std" w:hAnsi="HelveticaNeueLT Std" w:cs="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google.com/document/d/1r7aCsM7xcQjnipfU0v6CH6ETRwIv1JpGfV-EgRP3NRo/ed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google.com/document/d/1r7aCsM7xcQjnipfU0v6CH6ETRwIv1JpGfV-EgRP3NRo/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a-sb.org/docs/default-source/toolbox/visionary-team/supt-eval/suptevalfaqf4a9325d-fb6e-44be-a6a7-db79e8990d77.pdf?sfvrsn=e75ede69_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s.google.com/document/d/1r7aCsM7xcQjnipfU0v6CH6ETRwIv1JpGfV-EgRP3NRo/edit" TargetMode="External"/><Relationship Id="rId4" Type="http://schemas.openxmlformats.org/officeDocument/2006/relationships/webSettings" Target="webSettings.xml"/><Relationship Id="rId9" Type="http://schemas.openxmlformats.org/officeDocument/2006/relationships/hyperlink" Target="https://docs.google.com/document/d/1r7aCsM7xcQjnipfU0v6CH6ETRwIv1JpGfV-EgRP3NRo/ed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Links>
    <vt:vector size="30" baseType="variant">
      <vt:variant>
        <vt:i4>4587615</vt:i4>
      </vt:variant>
      <vt:variant>
        <vt:i4>12</vt:i4>
      </vt:variant>
      <vt:variant>
        <vt:i4>0</vt:i4>
      </vt:variant>
      <vt:variant>
        <vt:i4>5</vt:i4>
      </vt:variant>
      <vt:variant>
        <vt:lpwstr>https://docs.google.com/document/d/1r7aCsM7xcQjnipfU0v6CH6ETRwIv1JpGfV-EgRP3NRo/edit</vt:lpwstr>
      </vt:variant>
      <vt:variant>
        <vt:lpwstr/>
      </vt:variant>
      <vt:variant>
        <vt:i4>4587615</vt:i4>
      </vt:variant>
      <vt:variant>
        <vt:i4>9</vt:i4>
      </vt:variant>
      <vt:variant>
        <vt:i4>0</vt:i4>
      </vt:variant>
      <vt:variant>
        <vt:i4>5</vt:i4>
      </vt:variant>
      <vt:variant>
        <vt:lpwstr>https://docs.google.com/document/d/1r7aCsM7xcQjnipfU0v6CH6ETRwIv1JpGfV-EgRP3NRo/edit</vt:lpwstr>
      </vt:variant>
      <vt:variant>
        <vt:lpwstr/>
      </vt:variant>
      <vt:variant>
        <vt:i4>4784132</vt:i4>
      </vt:variant>
      <vt:variant>
        <vt:i4>6</vt:i4>
      </vt:variant>
      <vt:variant>
        <vt:i4>0</vt:i4>
      </vt:variant>
      <vt:variant>
        <vt:i4>5</vt:i4>
      </vt:variant>
      <vt:variant>
        <vt:lpwstr>https://www.ia-sb.org/main/downloads/tools/visionary/supteval/SuptEvalFAQ.pdf</vt:lpwstr>
      </vt:variant>
      <vt:variant>
        <vt:lpwstr/>
      </vt:variant>
      <vt:variant>
        <vt:i4>4587615</vt:i4>
      </vt:variant>
      <vt:variant>
        <vt:i4>3</vt:i4>
      </vt:variant>
      <vt:variant>
        <vt:i4>0</vt:i4>
      </vt:variant>
      <vt:variant>
        <vt:i4>5</vt:i4>
      </vt:variant>
      <vt:variant>
        <vt:lpwstr>https://docs.google.com/document/d/1r7aCsM7xcQjnipfU0v6CH6ETRwIv1JpGfV-EgRP3NRo/edit</vt:lpwstr>
      </vt:variant>
      <vt:variant>
        <vt:lpwstr/>
      </vt:variant>
      <vt:variant>
        <vt:i4>4587615</vt:i4>
      </vt:variant>
      <vt:variant>
        <vt:i4>0</vt:i4>
      </vt:variant>
      <vt:variant>
        <vt:i4>0</vt:i4>
      </vt:variant>
      <vt:variant>
        <vt:i4>5</vt:i4>
      </vt:variant>
      <vt:variant>
        <vt:lpwstr>https://docs.google.com/document/d/1r7aCsM7xcQjnipfU0v6CH6ETRwIv1JpGfV-EgRP3NRo/edit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Rhodes</dc:creator>
  <cp:keywords/>
  <cp:lastModifiedBy>Emily Rhodes</cp:lastModifiedBy>
  <cp:revision>4</cp:revision>
  <dcterms:created xsi:type="dcterms:W3CDTF">2022-03-24T20:22:00Z</dcterms:created>
  <dcterms:modified xsi:type="dcterms:W3CDTF">2022-06-16T17:40:00Z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Acrobat PDFMaker 17 for Word</vt:lpwstr>
  </property>
  <property fmtid="{D5CDD505-2E9C-101B-9397-08002B2CF9AE}" pid="4" name="LastSaved">
    <vt:filetime>2021-06-08T00:00:00Z</vt:filetime>
  </property>
</Properties>
</file>